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9F712" w14:textId="6F4D5E21" w:rsidR="00EF6EE7" w:rsidRPr="007237E4" w:rsidRDefault="00EF6EE7" w:rsidP="007237E4">
      <w:pPr>
        <w:pageBreakBefore/>
        <w:spacing w:before="120" w:after="120" w:line="240" w:lineRule="auto"/>
        <w:ind w:left="0" w:firstLine="0"/>
        <w:rPr>
          <w:sz w:val="24"/>
          <w:szCs w:val="24"/>
          <w:lang w:val="ru-RU"/>
        </w:rPr>
      </w:pPr>
    </w:p>
    <w:p w14:paraId="3FF52046" w14:textId="14E528C3" w:rsidR="00EF6EE7" w:rsidRDefault="00EF6EE7" w:rsidP="00484485">
      <w:pPr>
        <w:spacing w:before="120" w:after="120" w:line="240" w:lineRule="auto"/>
        <w:ind w:left="0" w:right="0" w:firstLine="0"/>
        <w:jc w:val="center"/>
        <w:rPr>
          <w:rFonts w:eastAsiaTheme="majorEastAsia"/>
          <w:b/>
          <w:bCs/>
          <w:color w:val="2F5496" w:themeColor="accent1" w:themeShade="BF"/>
          <w:sz w:val="24"/>
          <w:szCs w:val="24"/>
          <w:lang w:val="ru-RU"/>
        </w:rPr>
      </w:pPr>
      <w:bookmarkStart w:id="0" w:name="_Hlk157706286"/>
      <w:r>
        <w:rPr>
          <w:rFonts w:eastAsiaTheme="majorEastAsia"/>
          <w:b/>
          <w:bCs/>
          <w:color w:val="2F5496" w:themeColor="accent1" w:themeShade="BF"/>
          <w:sz w:val="24"/>
          <w:szCs w:val="24"/>
          <w:lang w:val="ru-RU"/>
        </w:rPr>
        <w:t xml:space="preserve">ПРИМЕР РАСЧЕТА </w:t>
      </w:r>
      <w:r w:rsidR="006435D1">
        <w:rPr>
          <w:rFonts w:eastAsiaTheme="majorEastAsia"/>
          <w:b/>
          <w:bCs/>
          <w:color w:val="2F5496" w:themeColor="accent1" w:themeShade="BF"/>
          <w:sz w:val="24"/>
          <w:szCs w:val="24"/>
          <w:lang w:val="ru-RU"/>
        </w:rPr>
        <w:t xml:space="preserve">ОЦЕНКИ ОБЕСПЕЧЕННОСТИ </w:t>
      </w:r>
      <w:r w:rsidR="00305DD5">
        <w:rPr>
          <w:rFonts w:eastAsiaTheme="majorEastAsia"/>
          <w:b/>
          <w:bCs/>
          <w:color w:val="2F5496" w:themeColor="accent1" w:themeShade="BF"/>
          <w:sz w:val="24"/>
          <w:szCs w:val="24"/>
          <w:lang w:val="ru-RU"/>
        </w:rPr>
        <w:br/>
      </w:r>
      <w:r w:rsidR="006435D1">
        <w:rPr>
          <w:rFonts w:eastAsiaTheme="majorEastAsia"/>
          <w:b/>
          <w:bCs/>
          <w:color w:val="2F5496" w:themeColor="accent1" w:themeShade="BF"/>
          <w:sz w:val="24"/>
          <w:szCs w:val="24"/>
          <w:lang w:val="ru-RU"/>
        </w:rPr>
        <w:t>РЕГИОНАЛЬНОЙ ПРОГРАММЫ</w:t>
      </w:r>
      <w:r w:rsidR="00B2398E">
        <w:rPr>
          <w:rFonts w:eastAsiaTheme="majorEastAsia"/>
          <w:b/>
          <w:bCs/>
          <w:color w:val="2F5496" w:themeColor="accent1" w:themeShade="BF"/>
          <w:sz w:val="24"/>
          <w:szCs w:val="24"/>
          <w:lang w:val="ru-RU"/>
        </w:rPr>
        <w:t xml:space="preserve"> </w:t>
      </w:r>
      <w:bookmarkEnd w:id="0"/>
    </w:p>
    <w:p w14:paraId="607004AF" w14:textId="77777777" w:rsidR="00305DD5" w:rsidRDefault="00305DD5" w:rsidP="00484485">
      <w:pPr>
        <w:spacing w:before="120" w:after="120" w:line="240" w:lineRule="auto"/>
        <w:ind w:left="0" w:right="0" w:firstLine="0"/>
        <w:jc w:val="center"/>
        <w:rPr>
          <w:rFonts w:eastAsiaTheme="majorEastAsia"/>
          <w:b/>
          <w:bCs/>
          <w:color w:val="2F5496" w:themeColor="accent1" w:themeShade="BF"/>
          <w:sz w:val="24"/>
          <w:szCs w:val="24"/>
          <w:lang w:val="ru-RU"/>
        </w:rPr>
      </w:pPr>
    </w:p>
    <w:p w14:paraId="512ADDAA" w14:textId="4526D48B" w:rsidR="00597AF9" w:rsidRDefault="00184821" w:rsidP="00484485">
      <w:pPr>
        <w:spacing w:before="120" w:after="120" w:line="240" w:lineRule="auto"/>
        <w:ind w:firstLine="0"/>
        <w:rPr>
          <w:bCs/>
          <w:sz w:val="24"/>
          <w:szCs w:val="24"/>
          <w:lang w:val="ru-RU"/>
        </w:rPr>
      </w:pPr>
      <w:r w:rsidRPr="00484485">
        <w:rPr>
          <w:bCs/>
          <w:sz w:val="24"/>
          <w:szCs w:val="24"/>
          <w:lang w:val="ru-RU"/>
        </w:rPr>
        <w:t xml:space="preserve">Оценка обеспеченности Региональной программы рассчитывается исходя из анализа </w:t>
      </w:r>
      <w:r w:rsidR="00305DD5">
        <w:rPr>
          <w:bCs/>
          <w:sz w:val="24"/>
          <w:szCs w:val="24"/>
          <w:lang w:val="ru-RU"/>
        </w:rPr>
        <w:br/>
      </w:r>
      <w:r w:rsidRPr="00484485">
        <w:rPr>
          <w:bCs/>
          <w:sz w:val="24"/>
          <w:szCs w:val="24"/>
          <w:lang w:val="ru-RU"/>
        </w:rPr>
        <w:t xml:space="preserve">вклада результатов </w:t>
      </w:r>
      <w:r w:rsidR="00597AF9">
        <w:rPr>
          <w:bCs/>
          <w:sz w:val="24"/>
          <w:szCs w:val="24"/>
          <w:lang w:val="ru-RU"/>
        </w:rPr>
        <w:t>П</w:t>
      </w:r>
      <w:r w:rsidRPr="00484485">
        <w:rPr>
          <w:bCs/>
          <w:sz w:val="24"/>
          <w:szCs w:val="24"/>
          <w:lang w:val="ru-RU"/>
        </w:rPr>
        <w:t>роектов Региональной программы в достижение цели и показателей Региональной программы количественным методом.</w:t>
      </w:r>
      <w:r w:rsidR="00597AF9">
        <w:rPr>
          <w:bCs/>
          <w:sz w:val="24"/>
          <w:szCs w:val="24"/>
          <w:lang w:val="ru-RU"/>
        </w:rPr>
        <w:t xml:space="preserve"> </w:t>
      </w:r>
    </w:p>
    <w:p w14:paraId="6C3D3C13" w14:textId="7DB4AE23" w:rsidR="00184821" w:rsidRPr="00484485" w:rsidRDefault="00184821" w:rsidP="00484485">
      <w:pPr>
        <w:spacing w:before="120" w:after="120" w:line="240" w:lineRule="auto"/>
        <w:ind w:firstLine="0"/>
        <w:rPr>
          <w:bCs/>
          <w:sz w:val="24"/>
          <w:szCs w:val="24"/>
          <w:lang w:val="ru-RU"/>
        </w:rPr>
      </w:pPr>
      <w:r w:rsidRPr="00484485">
        <w:rPr>
          <w:bCs/>
          <w:sz w:val="24"/>
          <w:szCs w:val="24"/>
          <w:lang w:val="ru-RU"/>
        </w:rPr>
        <w:t xml:space="preserve">Основной показатель Региональной программы по увеличению несырьевого неэнергетического экспорта может быть достигнут за счет роста дополнительных </w:t>
      </w:r>
      <w:r w:rsidR="00305DD5">
        <w:rPr>
          <w:bCs/>
          <w:sz w:val="24"/>
          <w:szCs w:val="24"/>
          <w:lang w:val="ru-RU"/>
        </w:rPr>
        <w:br/>
      </w:r>
      <w:r w:rsidRPr="00484485">
        <w:rPr>
          <w:bCs/>
          <w:sz w:val="24"/>
          <w:szCs w:val="24"/>
          <w:lang w:val="ru-RU"/>
        </w:rPr>
        <w:t xml:space="preserve">показателей по экспорту в отрасли промышленности, экспорту в отрасли АПК. Также </w:t>
      </w:r>
      <w:r w:rsidR="00305DD5">
        <w:rPr>
          <w:bCs/>
          <w:sz w:val="24"/>
          <w:szCs w:val="24"/>
          <w:lang w:val="ru-RU"/>
        </w:rPr>
        <w:br/>
      </w:r>
      <w:r w:rsidRPr="00484485">
        <w:rPr>
          <w:bCs/>
          <w:sz w:val="24"/>
          <w:szCs w:val="24"/>
          <w:lang w:val="ru-RU"/>
        </w:rPr>
        <w:t xml:space="preserve">учтем необходимость развития экспорта в отрасли услуг (в услуги мы включаем экспорт </w:t>
      </w:r>
      <w:r w:rsidR="00305DD5">
        <w:rPr>
          <w:bCs/>
          <w:sz w:val="24"/>
          <w:szCs w:val="24"/>
          <w:lang w:val="ru-RU"/>
        </w:rPr>
        <w:br/>
      </w:r>
      <w:r w:rsidRPr="00484485">
        <w:rPr>
          <w:bCs/>
          <w:sz w:val="24"/>
          <w:szCs w:val="24"/>
          <w:lang w:val="ru-RU"/>
        </w:rPr>
        <w:t xml:space="preserve">в здравоохранении, образовании и туризме, информационных технологиях). </w:t>
      </w:r>
    </w:p>
    <w:p w14:paraId="6F5686EB" w14:textId="07CAD143" w:rsidR="00184821" w:rsidRPr="00484485" w:rsidRDefault="00184821" w:rsidP="00484485">
      <w:pPr>
        <w:spacing w:before="120" w:after="120" w:line="240" w:lineRule="auto"/>
        <w:ind w:firstLine="0"/>
        <w:rPr>
          <w:bCs/>
          <w:sz w:val="24"/>
          <w:szCs w:val="24"/>
          <w:lang w:val="ru-RU"/>
        </w:rPr>
      </w:pPr>
      <w:r w:rsidRPr="00484485">
        <w:rPr>
          <w:bCs/>
          <w:sz w:val="24"/>
          <w:szCs w:val="24"/>
          <w:lang w:val="ru-RU"/>
        </w:rPr>
        <w:t>Рассмотрим пример расчета оценки обеспеченности Региональной программы. Предположим, что базовое значение показателя по ННЭ в денежном выражении в 2020 году (для удобства будем считать в млн долл.) составляло 1 000 млн долл. К 2024 и 2030 годам мы должны достигнуть значений 1</w:t>
      </w:r>
      <w:r w:rsidRPr="00484485">
        <w:rPr>
          <w:bCs/>
          <w:sz w:val="24"/>
          <w:szCs w:val="24"/>
        </w:rPr>
        <w:t> </w:t>
      </w:r>
      <w:r w:rsidRPr="00484485">
        <w:rPr>
          <w:bCs/>
          <w:sz w:val="24"/>
          <w:szCs w:val="24"/>
          <w:lang w:val="ru-RU"/>
        </w:rPr>
        <w:t>400 и 1</w:t>
      </w:r>
      <w:r w:rsidRPr="00484485">
        <w:rPr>
          <w:bCs/>
          <w:sz w:val="24"/>
          <w:szCs w:val="24"/>
        </w:rPr>
        <w:t> </w:t>
      </w:r>
      <w:r w:rsidRPr="00484485">
        <w:rPr>
          <w:bCs/>
          <w:sz w:val="24"/>
          <w:szCs w:val="24"/>
          <w:lang w:val="ru-RU"/>
        </w:rPr>
        <w:t xml:space="preserve">700 млн долл. соответственно. </w:t>
      </w:r>
    </w:p>
    <w:p w14:paraId="6582DC81" w14:textId="423E1BAB" w:rsidR="00184821" w:rsidRPr="00484485" w:rsidRDefault="00184821" w:rsidP="00484485">
      <w:pPr>
        <w:spacing w:before="120" w:after="120" w:line="240" w:lineRule="auto"/>
        <w:ind w:firstLine="0"/>
        <w:rPr>
          <w:bCs/>
          <w:sz w:val="24"/>
          <w:szCs w:val="24"/>
          <w:lang w:val="ru-RU"/>
        </w:rPr>
      </w:pPr>
      <w:r w:rsidRPr="00484485">
        <w:rPr>
          <w:bCs/>
          <w:sz w:val="24"/>
          <w:szCs w:val="24"/>
          <w:lang w:val="ru-RU"/>
        </w:rPr>
        <w:t>С учетом факторов внешней и внутренней среды территории, ее сильных и слабых сторон, угроз и возможностей мы можем спланировать, что значения основных показателей будут достигнуты в 2024 и в 2030 гг. за счет достижения дополнительных показателей в объемах, приведенных на рисунке 1, т.е. что</w:t>
      </w:r>
      <w:r w:rsidR="00305DD5">
        <w:rPr>
          <w:bCs/>
          <w:sz w:val="24"/>
          <w:szCs w:val="24"/>
          <w:lang w:val="ru-RU"/>
        </w:rPr>
        <w:t>бы</w:t>
      </w:r>
      <w:r w:rsidRPr="00484485">
        <w:rPr>
          <w:bCs/>
          <w:sz w:val="24"/>
          <w:szCs w:val="24"/>
          <w:lang w:val="ru-RU"/>
        </w:rPr>
        <w:t xml:space="preserve">, например, выполнить показатель по экспорту </w:t>
      </w:r>
      <w:r w:rsidR="00305DD5">
        <w:rPr>
          <w:bCs/>
          <w:sz w:val="24"/>
          <w:szCs w:val="24"/>
          <w:lang w:val="ru-RU"/>
        </w:rPr>
        <w:br/>
      </w:r>
      <w:r w:rsidRPr="00484485">
        <w:rPr>
          <w:bCs/>
          <w:sz w:val="24"/>
          <w:szCs w:val="24"/>
          <w:lang w:val="ru-RU"/>
        </w:rPr>
        <w:t xml:space="preserve">2024 года, наши дополнительные показатели должны прирасти на 200 млн долл. в экспорте </w:t>
      </w:r>
      <w:r w:rsidR="00305DD5">
        <w:rPr>
          <w:bCs/>
          <w:sz w:val="24"/>
          <w:szCs w:val="24"/>
          <w:lang w:val="ru-RU"/>
        </w:rPr>
        <w:br/>
      </w:r>
      <w:r w:rsidRPr="00484485">
        <w:rPr>
          <w:bCs/>
          <w:sz w:val="24"/>
          <w:szCs w:val="24"/>
          <w:lang w:val="ru-RU"/>
        </w:rPr>
        <w:t xml:space="preserve">в промышленности, на 160 млн долл. </w:t>
      </w:r>
      <w:r w:rsidR="00305DD5">
        <w:rPr>
          <w:bCs/>
          <w:sz w:val="24"/>
          <w:szCs w:val="24"/>
          <w:lang w:val="ru-RU"/>
        </w:rPr>
        <w:t xml:space="preserve">– </w:t>
      </w:r>
      <w:r w:rsidRPr="00484485">
        <w:rPr>
          <w:bCs/>
          <w:sz w:val="24"/>
          <w:szCs w:val="24"/>
          <w:lang w:val="ru-RU"/>
        </w:rPr>
        <w:t xml:space="preserve">в экспорте продукции АПК и на 40 млн долл. </w:t>
      </w:r>
      <w:r w:rsidR="00305DD5">
        <w:rPr>
          <w:bCs/>
          <w:sz w:val="24"/>
          <w:szCs w:val="24"/>
          <w:lang w:val="ru-RU"/>
        </w:rPr>
        <w:t xml:space="preserve">– </w:t>
      </w:r>
      <w:r w:rsidRPr="00484485">
        <w:rPr>
          <w:bCs/>
          <w:sz w:val="24"/>
          <w:szCs w:val="24"/>
          <w:lang w:val="ru-RU"/>
        </w:rPr>
        <w:t>в сфере услуг.</w:t>
      </w:r>
    </w:p>
    <w:p w14:paraId="5EAAC3AB" w14:textId="39F50FDC" w:rsidR="00672912" w:rsidRPr="00672912" w:rsidRDefault="00305DD5" w:rsidP="006F5B6C">
      <w:pPr>
        <w:spacing w:after="120" w:line="276" w:lineRule="auto"/>
        <w:ind w:firstLine="699"/>
        <w:jc w:val="center"/>
        <w:rPr>
          <w:bCs/>
          <w:sz w:val="22"/>
          <w:szCs w:val="18"/>
          <w:lang w:val="ru-RU"/>
        </w:rPr>
      </w:pPr>
      <w:r w:rsidRPr="00484485">
        <w:rPr>
          <w:b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674DAAFA" wp14:editId="096E418B">
            <wp:simplePos x="0" y="0"/>
            <wp:positionH relativeFrom="margin">
              <wp:align>center</wp:align>
            </wp:positionH>
            <wp:positionV relativeFrom="paragraph">
              <wp:posOffset>201930</wp:posOffset>
            </wp:positionV>
            <wp:extent cx="5940425" cy="2550160"/>
            <wp:effectExtent l="0" t="0" r="3175" b="2540"/>
            <wp:wrapTight wrapText="bothSides">
              <wp:wrapPolygon edited="0">
                <wp:start x="0" y="0"/>
                <wp:lineTo x="0" y="21460"/>
                <wp:lineTo x="21542" y="21460"/>
                <wp:lineTo x="21542" y="0"/>
                <wp:lineTo x="0" y="0"/>
              </wp:wrapPolygon>
            </wp:wrapTight>
            <wp:docPr id="515157254" name="Рисунок 4" descr="Изображение выглядит как текст, снимок экрана, Шрифт, числ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157254" name="Рисунок 4" descr="Изображение выглядит как текст, снимок экрана, Шрифт, число&#10;&#10;Автоматически созданное описание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50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10B990" w14:textId="77777777" w:rsidR="004B42F2" w:rsidRDefault="004B42F2" w:rsidP="006F5B6C">
      <w:pPr>
        <w:spacing w:after="120" w:line="276" w:lineRule="auto"/>
        <w:ind w:firstLine="699"/>
        <w:jc w:val="center"/>
        <w:rPr>
          <w:bCs/>
          <w:sz w:val="20"/>
          <w:szCs w:val="20"/>
          <w:lang w:val="ru-RU"/>
        </w:rPr>
      </w:pPr>
    </w:p>
    <w:p w14:paraId="4BFACBC0" w14:textId="12C3F8BC" w:rsidR="006F5B6C" w:rsidRDefault="006F5B6C" w:rsidP="007237E4">
      <w:pPr>
        <w:spacing w:after="120" w:line="276" w:lineRule="auto"/>
        <w:jc w:val="center"/>
        <w:rPr>
          <w:bCs/>
          <w:sz w:val="20"/>
          <w:szCs w:val="20"/>
          <w:lang w:val="ru-RU"/>
        </w:rPr>
      </w:pPr>
      <w:r w:rsidRPr="00484485">
        <w:rPr>
          <w:bCs/>
          <w:sz w:val="20"/>
          <w:szCs w:val="20"/>
          <w:lang w:val="ru-RU"/>
        </w:rPr>
        <w:t>Рисунок 1</w:t>
      </w:r>
      <w:r w:rsidR="00A45DFD">
        <w:rPr>
          <w:bCs/>
          <w:sz w:val="20"/>
          <w:szCs w:val="20"/>
          <w:lang w:val="ru-RU"/>
        </w:rPr>
        <w:t>.</w:t>
      </w:r>
      <w:r w:rsidRPr="00484485">
        <w:rPr>
          <w:bCs/>
          <w:sz w:val="20"/>
          <w:szCs w:val="20"/>
          <w:lang w:val="ru-RU"/>
        </w:rPr>
        <w:t xml:space="preserve"> </w:t>
      </w:r>
      <w:r w:rsidR="00A45DFD">
        <w:rPr>
          <w:bCs/>
          <w:sz w:val="20"/>
          <w:szCs w:val="20"/>
          <w:lang w:val="ru-RU"/>
        </w:rPr>
        <w:t xml:space="preserve"> </w:t>
      </w:r>
      <w:r w:rsidRPr="00484485">
        <w:rPr>
          <w:bCs/>
          <w:sz w:val="20"/>
          <w:szCs w:val="20"/>
          <w:lang w:val="ru-RU"/>
        </w:rPr>
        <w:t>Оценка вклада до</w:t>
      </w:r>
      <w:r w:rsidR="00ED11F9" w:rsidRPr="00484485">
        <w:rPr>
          <w:bCs/>
          <w:sz w:val="20"/>
          <w:szCs w:val="20"/>
          <w:lang w:val="ru-RU"/>
        </w:rPr>
        <w:t>п</w:t>
      </w:r>
      <w:r w:rsidRPr="00484485">
        <w:rPr>
          <w:bCs/>
          <w:sz w:val="20"/>
          <w:szCs w:val="20"/>
          <w:lang w:val="ru-RU"/>
        </w:rPr>
        <w:t xml:space="preserve">олнительных показателей </w:t>
      </w:r>
      <w:r w:rsidR="00ED11F9" w:rsidRPr="00484485">
        <w:rPr>
          <w:bCs/>
          <w:sz w:val="20"/>
          <w:szCs w:val="20"/>
          <w:lang w:val="ru-RU"/>
        </w:rPr>
        <w:t xml:space="preserve">Региональной </w:t>
      </w:r>
      <w:r w:rsidRPr="00484485">
        <w:rPr>
          <w:bCs/>
          <w:sz w:val="20"/>
          <w:szCs w:val="20"/>
          <w:lang w:val="ru-RU"/>
        </w:rPr>
        <w:t xml:space="preserve">программы в достижение </w:t>
      </w:r>
      <w:r w:rsidR="00A45DFD">
        <w:rPr>
          <w:bCs/>
          <w:sz w:val="20"/>
          <w:szCs w:val="20"/>
          <w:lang w:val="ru-RU"/>
        </w:rPr>
        <w:br/>
      </w:r>
      <w:r w:rsidRPr="00484485">
        <w:rPr>
          <w:bCs/>
          <w:sz w:val="20"/>
          <w:szCs w:val="20"/>
          <w:lang w:val="ru-RU"/>
        </w:rPr>
        <w:t>основного показателя</w:t>
      </w:r>
      <w:r w:rsidR="00A45DFD">
        <w:rPr>
          <w:bCs/>
          <w:sz w:val="20"/>
          <w:szCs w:val="20"/>
          <w:lang w:val="ru-RU"/>
        </w:rPr>
        <w:t>.</w:t>
      </w:r>
    </w:p>
    <w:p w14:paraId="3CD5B7AE" w14:textId="77777777" w:rsidR="00305DD5" w:rsidRPr="00484485" w:rsidRDefault="00305DD5" w:rsidP="006F5B6C">
      <w:pPr>
        <w:spacing w:after="120" w:line="276" w:lineRule="auto"/>
        <w:ind w:firstLine="699"/>
        <w:jc w:val="center"/>
        <w:rPr>
          <w:bCs/>
          <w:sz w:val="20"/>
          <w:szCs w:val="20"/>
          <w:lang w:val="ru-RU"/>
        </w:rPr>
      </w:pPr>
    </w:p>
    <w:p w14:paraId="35830744" w14:textId="032A0A95" w:rsidR="00184821" w:rsidRDefault="00ED11F9" w:rsidP="00484485">
      <w:pPr>
        <w:spacing w:before="120" w:after="120" w:line="240" w:lineRule="auto"/>
        <w:rPr>
          <w:bCs/>
          <w:sz w:val="24"/>
          <w:szCs w:val="20"/>
          <w:lang w:val="ru-RU"/>
        </w:rPr>
      </w:pPr>
      <w:r>
        <w:rPr>
          <w:bCs/>
          <w:sz w:val="24"/>
          <w:szCs w:val="20"/>
          <w:lang w:val="ru-RU"/>
        </w:rPr>
        <w:lastRenderedPageBreak/>
        <w:t>С целью достижения</w:t>
      </w:r>
      <w:r w:rsidR="00184821" w:rsidRPr="00184821">
        <w:rPr>
          <w:bCs/>
          <w:sz w:val="24"/>
          <w:szCs w:val="20"/>
          <w:lang w:val="ru-RU"/>
        </w:rPr>
        <w:t xml:space="preserve"> показателей по объему ННЭ к 2024 и к 2030 гг. </w:t>
      </w:r>
      <w:r w:rsidR="00A45DFD">
        <w:rPr>
          <w:bCs/>
          <w:sz w:val="24"/>
          <w:szCs w:val="20"/>
          <w:lang w:val="ru-RU"/>
        </w:rPr>
        <w:t>надлежит</w:t>
      </w:r>
      <w:r w:rsidR="00184821" w:rsidRPr="00184821">
        <w:rPr>
          <w:bCs/>
          <w:sz w:val="24"/>
          <w:szCs w:val="20"/>
          <w:lang w:val="ru-RU"/>
        </w:rPr>
        <w:t xml:space="preserve"> через реализацию региональной программы обеспечить необходимый уровень прироста показателей за счет реализации проектных инициатив. </w:t>
      </w:r>
    </w:p>
    <w:p w14:paraId="7EBA7AB7" w14:textId="7EE4B823" w:rsidR="00184821" w:rsidRPr="00184821" w:rsidRDefault="00305DD5" w:rsidP="00484485">
      <w:pPr>
        <w:spacing w:before="120" w:after="120" w:line="240" w:lineRule="auto"/>
        <w:ind w:firstLine="0"/>
        <w:rPr>
          <w:bCs/>
          <w:sz w:val="24"/>
          <w:szCs w:val="20"/>
          <w:lang w:val="ru-RU"/>
        </w:rPr>
      </w:pPr>
      <w:r>
        <w:rPr>
          <w:bCs/>
          <w:sz w:val="24"/>
          <w:szCs w:val="20"/>
          <w:lang w:val="ru-RU"/>
        </w:rPr>
        <w:t>П</w:t>
      </w:r>
      <w:r w:rsidR="00184821" w:rsidRPr="00184821">
        <w:rPr>
          <w:bCs/>
          <w:sz w:val="24"/>
          <w:szCs w:val="20"/>
          <w:lang w:val="ru-RU"/>
        </w:rPr>
        <w:t xml:space="preserve">редположим, </w:t>
      </w:r>
      <w:r>
        <w:rPr>
          <w:bCs/>
          <w:sz w:val="24"/>
          <w:szCs w:val="20"/>
          <w:lang w:val="ru-RU"/>
        </w:rPr>
        <w:t xml:space="preserve">к примеру, что </w:t>
      </w:r>
      <w:r w:rsidR="00184821" w:rsidRPr="00184821">
        <w:rPr>
          <w:bCs/>
          <w:sz w:val="24"/>
          <w:szCs w:val="20"/>
          <w:lang w:val="ru-RU"/>
        </w:rPr>
        <w:t>для достижения дополнительного показателя по увеличению объема экспорта продукции АПК мы планируем реализовать проектную инициативу по увеличению объемов производства и экспорта кондитерской продукции в Н-ской области, в рамках которой планируем достичь ряд результатов, в частности:</w:t>
      </w:r>
    </w:p>
    <w:p w14:paraId="5302B577" w14:textId="77777777" w:rsidR="00184821" w:rsidRPr="00184821" w:rsidRDefault="00184821" w:rsidP="00484485">
      <w:pPr>
        <w:numPr>
          <w:ilvl w:val="0"/>
          <w:numId w:val="7"/>
        </w:numPr>
        <w:spacing w:before="120" w:after="120" w:line="240" w:lineRule="auto"/>
        <w:ind w:right="0"/>
        <w:rPr>
          <w:bCs/>
          <w:sz w:val="24"/>
          <w:szCs w:val="20"/>
          <w:lang w:val="ru-RU"/>
        </w:rPr>
      </w:pPr>
      <w:r w:rsidRPr="00184821">
        <w:rPr>
          <w:bCs/>
          <w:sz w:val="24"/>
          <w:szCs w:val="20"/>
          <w:lang w:val="ru-RU"/>
        </w:rPr>
        <w:t>Запущена новая линия по производству злаковых батончиков в ООО № 1.</w:t>
      </w:r>
    </w:p>
    <w:p w14:paraId="29F88128" w14:textId="77777777" w:rsidR="00184821" w:rsidRPr="00184821" w:rsidRDefault="00184821" w:rsidP="00484485">
      <w:pPr>
        <w:numPr>
          <w:ilvl w:val="0"/>
          <w:numId w:val="7"/>
        </w:numPr>
        <w:spacing w:before="120" w:after="120" w:line="240" w:lineRule="auto"/>
        <w:ind w:right="0"/>
        <w:rPr>
          <w:bCs/>
          <w:sz w:val="24"/>
          <w:szCs w:val="20"/>
          <w:lang w:val="ru-RU"/>
        </w:rPr>
      </w:pPr>
      <w:r w:rsidRPr="00184821">
        <w:rPr>
          <w:bCs/>
          <w:sz w:val="24"/>
          <w:szCs w:val="20"/>
          <w:lang w:val="ru-RU"/>
        </w:rPr>
        <w:t xml:space="preserve">Разработана новая упаковка продукции для стран Азии для продукции </w:t>
      </w:r>
      <w:r w:rsidRPr="00184821">
        <w:rPr>
          <w:bCs/>
          <w:sz w:val="24"/>
          <w:szCs w:val="20"/>
          <w:lang w:val="ru-RU"/>
        </w:rPr>
        <w:br/>
        <w:t>ООО № 1 и АО № 2.</w:t>
      </w:r>
    </w:p>
    <w:p w14:paraId="3D7F96BA" w14:textId="277917E5" w:rsidR="00184821" w:rsidRPr="00184821" w:rsidRDefault="00184821" w:rsidP="00484485">
      <w:pPr>
        <w:numPr>
          <w:ilvl w:val="0"/>
          <w:numId w:val="7"/>
        </w:numPr>
        <w:spacing w:before="120" w:after="120" w:line="240" w:lineRule="auto"/>
        <w:ind w:right="0"/>
        <w:rPr>
          <w:bCs/>
          <w:sz w:val="24"/>
          <w:szCs w:val="20"/>
          <w:lang w:val="ru-RU"/>
        </w:rPr>
      </w:pPr>
      <w:r w:rsidRPr="00184821">
        <w:rPr>
          <w:bCs/>
          <w:sz w:val="24"/>
          <w:szCs w:val="20"/>
          <w:lang w:val="ru-RU"/>
        </w:rPr>
        <w:t xml:space="preserve">Будут </w:t>
      </w:r>
      <w:proofErr w:type="spellStart"/>
      <w:r w:rsidRPr="00184821">
        <w:rPr>
          <w:bCs/>
          <w:sz w:val="24"/>
          <w:szCs w:val="20"/>
          <w:lang w:val="ru-RU"/>
        </w:rPr>
        <w:t>рекультивированы</w:t>
      </w:r>
      <w:proofErr w:type="spellEnd"/>
      <w:r w:rsidRPr="00184821">
        <w:rPr>
          <w:bCs/>
          <w:sz w:val="24"/>
          <w:szCs w:val="20"/>
          <w:lang w:val="ru-RU"/>
        </w:rPr>
        <w:t xml:space="preserve"> и введены в оборот не менее 100.000 Га с/х земель, </w:t>
      </w:r>
      <w:r w:rsidR="00305DD5">
        <w:rPr>
          <w:bCs/>
          <w:sz w:val="24"/>
          <w:szCs w:val="20"/>
          <w:lang w:val="ru-RU"/>
        </w:rPr>
        <w:t>где</w:t>
      </w:r>
      <w:r w:rsidRPr="00184821">
        <w:rPr>
          <w:bCs/>
          <w:sz w:val="24"/>
          <w:szCs w:val="20"/>
          <w:lang w:val="ru-RU"/>
        </w:rPr>
        <w:t xml:space="preserve"> в дальнейшем планируется выращивание пшеницы, которая будет уходить на экспорт в полном объеме.</w:t>
      </w:r>
    </w:p>
    <w:p w14:paraId="7BBEDB85" w14:textId="43F6EA95" w:rsidR="00184821" w:rsidRPr="00184821" w:rsidRDefault="00ED11F9" w:rsidP="00484485">
      <w:pPr>
        <w:spacing w:before="120" w:after="120" w:line="240" w:lineRule="auto"/>
        <w:ind w:firstLine="0"/>
        <w:rPr>
          <w:bCs/>
          <w:sz w:val="24"/>
          <w:szCs w:val="20"/>
          <w:lang w:val="ru-RU"/>
        </w:rPr>
      </w:pPr>
      <w:r>
        <w:rPr>
          <w:bCs/>
          <w:sz w:val="24"/>
          <w:szCs w:val="20"/>
          <w:lang w:val="ru-RU"/>
        </w:rPr>
        <w:t>Предположим, что</w:t>
      </w:r>
      <w:r w:rsidR="00184821" w:rsidRPr="00184821">
        <w:rPr>
          <w:bCs/>
          <w:sz w:val="24"/>
          <w:szCs w:val="20"/>
          <w:lang w:val="ru-RU"/>
        </w:rPr>
        <w:t xml:space="preserve"> к 2024 году </w:t>
      </w:r>
      <w:r>
        <w:rPr>
          <w:bCs/>
          <w:sz w:val="24"/>
          <w:szCs w:val="20"/>
          <w:lang w:val="ru-RU"/>
        </w:rPr>
        <w:t>в субъекте Российской Федерации наступят следующие изменения</w:t>
      </w:r>
      <w:r w:rsidR="00184821" w:rsidRPr="00184821">
        <w:rPr>
          <w:bCs/>
          <w:sz w:val="24"/>
          <w:szCs w:val="20"/>
          <w:lang w:val="ru-RU"/>
        </w:rPr>
        <w:t xml:space="preserve"> </w:t>
      </w:r>
      <w:r>
        <w:rPr>
          <w:bCs/>
          <w:sz w:val="24"/>
          <w:szCs w:val="20"/>
          <w:lang w:val="ru-RU"/>
        </w:rPr>
        <w:t>(</w:t>
      </w:r>
      <w:r w:rsidR="00184821" w:rsidRPr="00184821">
        <w:rPr>
          <w:bCs/>
          <w:sz w:val="24"/>
          <w:szCs w:val="20"/>
          <w:lang w:val="ru-RU"/>
        </w:rPr>
        <w:t xml:space="preserve">если </w:t>
      </w:r>
      <w:r>
        <w:rPr>
          <w:bCs/>
          <w:sz w:val="24"/>
          <w:szCs w:val="20"/>
          <w:lang w:val="ru-RU"/>
        </w:rPr>
        <w:t>запланированные</w:t>
      </w:r>
      <w:r w:rsidR="00184821" w:rsidRPr="00184821">
        <w:rPr>
          <w:bCs/>
          <w:sz w:val="24"/>
          <w:szCs w:val="20"/>
          <w:lang w:val="ru-RU"/>
        </w:rPr>
        <w:t xml:space="preserve"> результаты будут достигнуты</w:t>
      </w:r>
      <w:r>
        <w:rPr>
          <w:bCs/>
          <w:sz w:val="24"/>
          <w:szCs w:val="20"/>
          <w:lang w:val="ru-RU"/>
        </w:rPr>
        <w:t>)</w:t>
      </w:r>
      <w:r w:rsidR="00184821" w:rsidRPr="00184821">
        <w:rPr>
          <w:bCs/>
          <w:sz w:val="24"/>
          <w:szCs w:val="20"/>
          <w:lang w:val="ru-RU"/>
        </w:rPr>
        <w:t>:</w:t>
      </w:r>
    </w:p>
    <w:p w14:paraId="63F88456" w14:textId="2C2CDDCF" w:rsidR="00184821" w:rsidRPr="00184821" w:rsidRDefault="00184821" w:rsidP="00484485">
      <w:pPr>
        <w:numPr>
          <w:ilvl w:val="0"/>
          <w:numId w:val="8"/>
        </w:numPr>
        <w:spacing w:before="120" w:after="120" w:line="240" w:lineRule="auto"/>
        <w:ind w:right="0"/>
        <w:rPr>
          <w:bCs/>
          <w:sz w:val="24"/>
          <w:szCs w:val="20"/>
          <w:lang w:val="ru-RU"/>
        </w:rPr>
      </w:pPr>
      <w:r w:rsidRPr="00184821">
        <w:rPr>
          <w:bCs/>
          <w:sz w:val="24"/>
          <w:szCs w:val="20"/>
          <w:lang w:val="ru-RU"/>
        </w:rPr>
        <w:t>В рамках результата «Запущена новая линия по производству злаковых батончиков»:</w:t>
      </w:r>
    </w:p>
    <w:p w14:paraId="4FF9BD5E" w14:textId="4579A47A" w:rsidR="00184821" w:rsidRPr="00184821" w:rsidRDefault="00184821" w:rsidP="00484485">
      <w:pPr>
        <w:numPr>
          <w:ilvl w:val="1"/>
          <w:numId w:val="8"/>
        </w:numPr>
        <w:spacing w:before="120" w:after="120" w:line="240" w:lineRule="auto"/>
        <w:ind w:right="0"/>
        <w:rPr>
          <w:bCs/>
          <w:sz w:val="24"/>
          <w:szCs w:val="20"/>
          <w:lang w:val="ru-RU"/>
        </w:rPr>
      </w:pPr>
      <w:r w:rsidRPr="00184821">
        <w:rPr>
          <w:bCs/>
          <w:sz w:val="24"/>
          <w:szCs w:val="20"/>
          <w:lang w:val="ru-RU"/>
        </w:rPr>
        <w:t xml:space="preserve">Увеличится выпуск злаковых батончиков на 800 т в год и экспорт </w:t>
      </w:r>
      <w:r w:rsidRPr="00184821">
        <w:rPr>
          <w:bCs/>
          <w:sz w:val="24"/>
          <w:szCs w:val="20"/>
          <w:lang w:val="ru-RU"/>
        </w:rPr>
        <w:br/>
        <w:t>на 10 млн долл.</w:t>
      </w:r>
    </w:p>
    <w:p w14:paraId="3AE2AF18" w14:textId="4DE26CAE" w:rsidR="00184821" w:rsidRPr="00184821" w:rsidRDefault="00184821" w:rsidP="00484485">
      <w:pPr>
        <w:numPr>
          <w:ilvl w:val="0"/>
          <w:numId w:val="8"/>
        </w:numPr>
        <w:spacing w:before="120" w:after="120" w:line="240" w:lineRule="auto"/>
        <w:ind w:right="0"/>
        <w:rPr>
          <w:bCs/>
          <w:sz w:val="24"/>
          <w:szCs w:val="20"/>
          <w:lang w:val="ru-RU"/>
        </w:rPr>
      </w:pPr>
      <w:r w:rsidRPr="00184821">
        <w:rPr>
          <w:bCs/>
          <w:sz w:val="24"/>
          <w:szCs w:val="20"/>
          <w:lang w:val="ru-RU"/>
        </w:rPr>
        <w:t>В рамках результата «Разработана новая упаковка продукции для стран Азии»:</w:t>
      </w:r>
    </w:p>
    <w:p w14:paraId="2563ED6F" w14:textId="6B967C70" w:rsidR="00184821" w:rsidRPr="00184821" w:rsidRDefault="00184821" w:rsidP="00484485">
      <w:pPr>
        <w:numPr>
          <w:ilvl w:val="1"/>
          <w:numId w:val="8"/>
        </w:numPr>
        <w:spacing w:before="120" w:after="120" w:line="240" w:lineRule="auto"/>
        <w:ind w:right="0"/>
        <w:rPr>
          <w:bCs/>
          <w:sz w:val="24"/>
          <w:szCs w:val="20"/>
          <w:lang w:val="ru-RU"/>
        </w:rPr>
      </w:pPr>
      <w:r w:rsidRPr="00184821">
        <w:rPr>
          <w:bCs/>
          <w:sz w:val="24"/>
          <w:szCs w:val="20"/>
          <w:lang w:val="ru-RU"/>
        </w:rPr>
        <w:t xml:space="preserve">Увеличится география стран экспорта на </w:t>
      </w:r>
      <w:r w:rsidR="00597AF9">
        <w:rPr>
          <w:bCs/>
          <w:sz w:val="24"/>
          <w:szCs w:val="20"/>
          <w:lang w:val="ru-RU"/>
        </w:rPr>
        <w:t>4</w:t>
      </w:r>
      <w:r w:rsidRPr="00184821">
        <w:rPr>
          <w:bCs/>
          <w:sz w:val="24"/>
          <w:szCs w:val="20"/>
          <w:lang w:val="ru-RU"/>
        </w:rPr>
        <w:t xml:space="preserve"> страны.</w:t>
      </w:r>
    </w:p>
    <w:p w14:paraId="05987A45" w14:textId="58204791" w:rsidR="00184821" w:rsidRPr="00184821" w:rsidRDefault="00184821" w:rsidP="00484485">
      <w:pPr>
        <w:numPr>
          <w:ilvl w:val="1"/>
          <w:numId w:val="8"/>
        </w:numPr>
        <w:spacing w:before="120" w:after="120" w:line="240" w:lineRule="auto"/>
        <w:ind w:right="0"/>
        <w:rPr>
          <w:bCs/>
          <w:sz w:val="24"/>
          <w:szCs w:val="20"/>
          <w:lang w:val="ru-RU"/>
        </w:rPr>
      </w:pPr>
      <w:r w:rsidRPr="00184821">
        <w:rPr>
          <w:bCs/>
          <w:sz w:val="24"/>
          <w:szCs w:val="20"/>
          <w:lang w:val="ru-RU"/>
        </w:rPr>
        <w:t>Увеличится объем экспорта на 5 млн долл.</w:t>
      </w:r>
    </w:p>
    <w:p w14:paraId="45974C5C" w14:textId="0F8E8307" w:rsidR="00184821" w:rsidRPr="00184821" w:rsidRDefault="00597AF9" w:rsidP="00484485">
      <w:pPr>
        <w:numPr>
          <w:ilvl w:val="0"/>
          <w:numId w:val="8"/>
        </w:numPr>
        <w:spacing w:before="120" w:after="120" w:line="240" w:lineRule="auto"/>
        <w:ind w:right="0"/>
        <w:rPr>
          <w:bCs/>
          <w:sz w:val="24"/>
          <w:szCs w:val="20"/>
        </w:rPr>
      </w:pPr>
      <w:r>
        <w:rPr>
          <w:bCs/>
          <w:noProof/>
          <w:sz w:val="24"/>
          <w:szCs w:val="20"/>
          <w:lang w:val="ru-RU"/>
        </w:rPr>
        <w:drawing>
          <wp:anchor distT="0" distB="0" distL="114300" distR="114300" simplePos="0" relativeHeight="251659264" behindDoc="1" locked="0" layoutInCell="1" allowOverlap="1" wp14:anchorId="4C260A25" wp14:editId="242B094F">
            <wp:simplePos x="0" y="0"/>
            <wp:positionH relativeFrom="column">
              <wp:posOffset>152400</wp:posOffset>
            </wp:positionH>
            <wp:positionV relativeFrom="paragraph">
              <wp:posOffset>766089</wp:posOffset>
            </wp:positionV>
            <wp:extent cx="5940425" cy="2780665"/>
            <wp:effectExtent l="0" t="0" r="3175" b="635"/>
            <wp:wrapTight wrapText="bothSides">
              <wp:wrapPolygon edited="0">
                <wp:start x="0" y="0"/>
                <wp:lineTo x="0" y="21457"/>
                <wp:lineTo x="21542" y="21457"/>
                <wp:lineTo x="21542" y="0"/>
                <wp:lineTo x="0" y="0"/>
              </wp:wrapPolygon>
            </wp:wrapTight>
            <wp:docPr id="1393121975" name="Рисунок 3" descr="Изображение выглядит как текст, снимок экрана, Шрифт, числ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3121975" name="Рисунок 3" descr="Изображение выглядит как текст, снимок экрана, Шрифт, число&#10;&#10;Автоматически созданное описание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80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821" w:rsidRPr="00184821">
        <w:rPr>
          <w:bCs/>
          <w:sz w:val="24"/>
          <w:szCs w:val="20"/>
          <w:lang w:val="ru-RU"/>
        </w:rPr>
        <w:t xml:space="preserve">В рамках результата «Введены в оборот не менее 100.000 Га с/х земель» с учетом прогнозируемой урожайности в 40 ц с Га и цене на пшеницу в 250 долл. США за тонну можно спрогнозировать прирост экспорта на 100 млн долл. </w:t>
      </w:r>
      <w:r w:rsidR="00184821" w:rsidRPr="00184821">
        <w:rPr>
          <w:bCs/>
          <w:sz w:val="24"/>
          <w:szCs w:val="20"/>
        </w:rPr>
        <w:t>США.</w:t>
      </w:r>
    </w:p>
    <w:p w14:paraId="67FCE0C3" w14:textId="7650A9C9" w:rsidR="00ED11F9" w:rsidRDefault="00ED11F9" w:rsidP="00184821">
      <w:pPr>
        <w:spacing w:before="360" w:after="120" w:line="276" w:lineRule="auto"/>
        <w:rPr>
          <w:bCs/>
          <w:sz w:val="24"/>
          <w:szCs w:val="20"/>
          <w:lang w:val="ru-RU"/>
        </w:rPr>
      </w:pPr>
    </w:p>
    <w:p w14:paraId="2EEB36CD" w14:textId="3B49BF8B" w:rsidR="00EF6EE7" w:rsidRPr="00484485" w:rsidRDefault="00ED11F9" w:rsidP="00597AF9">
      <w:pPr>
        <w:spacing w:after="0" w:line="276" w:lineRule="auto"/>
        <w:ind w:left="11" w:firstLine="697"/>
        <w:jc w:val="center"/>
        <w:rPr>
          <w:bCs/>
          <w:sz w:val="20"/>
          <w:szCs w:val="20"/>
          <w:lang w:val="ru-RU"/>
        </w:rPr>
      </w:pPr>
      <w:r w:rsidRPr="00484485">
        <w:rPr>
          <w:bCs/>
          <w:sz w:val="20"/>
          <w:szCs w:val="20"/>
          <w:lang w:val="ru-RU"/>
        </w:rPr>
        <w:t>Рисунок 2</w:t>
      </w:r>
      <w:r w:rsidR="00A45DFD">
        <w:rPr>
          <w:bCs/>
          <w:sz w:val="20"/>
          <w:szCs w:val="20"/>
          <w:lang w:val="ru-RU"/>
        </w:rPr>
        <w:t>.</w:t>
      </w:r>
      <w:r w:rsidRPr="00484485">
        <w:rPr>
          <w:bCs/>
          <w:sz w:val="20"/>
          <w:szCs w:val="20"/>
          <w:lang w:val="ru-RU"/>
        </w:rPr>
        <w:t xml:space="preserve"> Расчет степени влияния результатов проекта на прирост показателей </w:t>
      </w:r>
      <w:r w:rsidR="00EF4BBC">
        <w:rPr>
          <w:bCs/>
          <w:sz w:val="20"/>
          <w:szCs w:val="20"/>
          <w:lang w:val="ru-RU"/>
        </w:rPr>
        <w:br/>
      </w:r>
      <w:r w:rsidRPr="00484485">
        <w:rPr>
          <w:bCs/>
          <w:sz w:val="20"/>
          <w:szCs w:val="20"/>
          <w:lang w:val="ru-RU"/>
        </w:rPr>
        <w:t>Региональной программы</w:t>
      </w:r>
      <w:r w:rsidR="00A45DFD">
        <w:rPr>
          <w:bCs/>
          <w:sz w:val="20"/>
          <w:szCs w:val="20"/>
          <w:lang w:val="ru-RU"/>
        </w:rPr>
        <w:t>.</w:t>
      </w:r>
    </w:p>
    <w:p w14:paraId="1DA82BF6" w14:textId="7710D688" w:rsidR="00672912" w:rsidRDefault="00672912" w:rsidP="00484485">
      <w:pPr>
        <w:spacing w:before="120" w:after="120" w:line="240" w:lineRule="auto"/>
        <w:ind w:left="11" w:firstLine="0"/>
        <w:rPr>
          <w:bCs/>
          <w:sz w:val="24"/>
          <w:szCs w:val="20"/>
          <w:lang w:val="ru-RU"/>
        </w:rPr>
      </w:pPr>
      <w:r>
        <w:rPr>
          <w:bCs/>
          <w:sz w:val="24"/>
          <w:szCs w:val="20"/>
          <w:lang w:val="ru-RU"/>
        </w:rPr>
        <w:lastRenderedPageBreak/>
        <w:t>Далее оцениваем в процентах вклад каждого из результатов проекта на прирост показателей Региональной программы (рисунок 2).</w:t>
      </w:r>
    </w:p>
    <w:p w14:paraId="57AB30F8" w14:textId="5C030DC6" w:rsidR="00672912" w:rsidRPr="00184821" w:rsidRDefault="00672912" w:rsidP="00484485">
      <w:pPr>
        <w:spacing w:before="120" w:after="120" w:line="240" w:lineRule="auto"/>
        <w:ind w:left="11" w:firstLine="0"/>
        <w:rPr>
          <w:bCs/>
          <w:sz w:val="24"/>
          <w:szCs w:val="20"/>
          <w:lang w:val="ru-RU"/>
        </w:rPr>
      </w:pPr>
      <w:r w:rsidRPr="00184821">
        <w:rPr>
          <w:bCs/>
          <w:sz w:val="24"/>
          <w:szCs w:val="20"/>
          <w:lang w:val="ru-RU"/>
        </w:rPr>
        <w:t xml:space="preserve">Таким образом, дополнительный показатель </w:t>
      </w:r>
      <w:r>
        <w:rPr>
          <w:bCs/>
          <w:sz w:val="24"/>
          <w:szCs w:val="20"/>
          <w:lang w:val="ru-RU"/>
        </w:rPr>
        <w:t xml:space="preserve">Региональной программы </w:t>
      </w:r>
      <w:r w:rsidRPr="00184821">
        <w:rPr>
          <w:bCs/>
          <w:sz w:val="24"/>
          <w:szCs w:val="20"/>
          <w:lang w:val="ru-RU"/>
        </w:rPr>
        <w:t>по объему экспорта АПК обеспечен результатами соответствующего проекта на 81,95</w:t>
      </w:r>
      <w:r w:rsidR="00EF4BBC">
        <w:rPr>
          <w:bCs/>
          <w:sz w:val="24"/>
          <w:szCs w:val="20"/>
          <w:lang w:val="ru-RU"/>
        </w:rPr>
        <w:t xml:space="preserve"> </w:t>
      </w:r>
      <w:r w:rsidRPr="00184821">
        <w:rPr>
          <w:bCs/>
          <w:sz w:val="24"/>
          <w:szCs w:val="20"/>
          <w:lang w:val="ru-RU"/>
        </w:rPr>
        <w:t>% (6,35</w:t>
      </w:r>
      <w:r w:rsidR="00EF4BBC">
        <w:rPr>
          <w:bCs/>
          <w:sz w:val="24"/>
          <w:szCs w:val="20"/>
          <w:lang w:val="ru-RU"/>
        </w:rPr>
        <w:t xml:space="preserve"> </w:t>
      </w:r>
      <w:r w:rsidRPr="00184821">
        <w:rPr>
          <w:bCs/>
          <w:sz w:val="24"/>
          <w:szCs w:val="20"/>
          <w:lang w:val="ru-RU"/>
        </w:rPr>
        <w:t>% + 12,6</w:t>
      </w:r>
      <w:r w:rsidR="00EF4BBC">
        <w:rPr>
          <w:bCs/>
          <w:sz w:val="24"/>
          <w:szCs w:val="20"/>
          <w:lang w:val="ru-RU"/>
        </w:rPr>
        <w:t xml:space="preserve"> </w:t>
      </w:r>
      <w:r w:rsidRPr="00184821">
        <w:rPr>
          <w:bCs/>
          <w:sz w:val="24"/>
          <w:szCs w:val="20"/>
          <w:lang w:val="ru-RU"/>
        </w:rPr>
        <w:t>% + 63</w:t>
      </w:r>
      <w:r w:rsidR="00EF4BBC">
        <w:rPr>
          <w:bCs/>
          <w:sz w:val="24"/>
          <w:szCs w:val="20"/>
          <w:lang w:val="ru-RU"/>
        </w:rPr>
        <w:t xml:space="preserve"> </w:t>
      </w:r>
      <w:r w:rsidRPr="00184821">
        <w:rPr>
          <w:bCs/>
          <w:sz w:val="24"/>
          <w:szCs w:val="20"/>
          <w:lang w:val="ru-RU"/>
        </w:rPr>
        <w:t>%). Это хорошее значение в действующих условиях, но не 100</w:t>
      </w:r>
      <w:r w:rsidR="00EF4BBC">
        <w:rPr>
          <w:bCs/>
          <w:sz w:val="24"/>
          <w:szCs w:val="20"/>
          <w:lang w:val="ru-RU"/>
        </w:rPr>
        <w:t xml:space="preserve"> </w:t>
      </w:r>
      <w:r w:rsidRPr="00184821">
        <w:rPr>
          <w:bCs/>
          <w:sz w:val="24"/>
          <w:szCs w:val="20"/>
          <w:lang w:val="ru-RU"/>
        </w:rPr>
        <w:t>%, т.е. мы понимаем уже сейчас, что нам недостаточно имеющихся результатов, чтобы достичь дополнительного показателя по экспорту АПК и основного показателя по росту ННЭ в 2024 году</w:t>
      </w:r>
      <w:r>
        <w:rPr>
          <w:bCs/>
          <w:sz w:val="24"/>
          <w:szCs w:val="20"/>
          <w:lang w:val="ru-RU"/>
        </w:rPr>
        <w:t>, значит необходимо добавить в Проект новые результаты или изменить в сторону увеличения существующие результаты Проекта</w:t>
      </w:r>
      <w:r w:rsidRPr="00184821">
        <w:rPr>
          <w:bCs/>
          <w:sz w:val="24"/>
          <w:szCs w:val="20"/>
          <w:lang w:val="ru-RU"/>
        </w:rPr>
        <w:t>.</w:t>
      </w:r>
    </w:p>
    <w:p w14:paraId="03383078" w14:textId="7E8EF83F" w:rsidR="00672912" w:rsidRPr="00ED11F9" w:rsidRDefault="00672912" w:rsidP="00484485">
      <w:pPr>
        <w:spacing w:before="120" w:after="120" w:line="240" w:lineRule="auto"/>
        <w:ind w:left="11" w:firstLine="0"/>
        <w:rPr>
          <w:bCs/>
          <w:sz w:val="22"/>
          <w:lang w:val="ru-RU"/>
        </w:rPr>
      </w:pPr>
      <w:r>
        <w:rPr>
          <w:bCs/>
          <w:sz w:val="24"/>
          <w:szCs w:val="20"/>
          <w:lang w:val="ru-RU"/>
        </w:rPr>
        <w:t xml:space="preserve">Аналогичным образом можно рассчитать обеспеченность других показателей Региональной программы соответствующими </w:t>
      </w:r>
      <w:r w:rsidR="00597AF9">
        <w:rPr>
          <w:bCs/>
          <w:sz w:val="24"/>
          <w:szCs w:val="20"/>
          <w:lang w:val="ru-RU"/>
        </w:rPr>
        <w:t>П</w:t>
      </w:r>
      <w:r>
        <w:rPr>
          <w:bCs/>
          <w:sz w:val="24"/>
          <w:szCs w:val="20"/>
          <w:lang w:val="ru-RU"/>
        </w:rPr>
        <w:t>роектами.</w:t>
      </w:r>
    </w:p>
    <w:sectPr w:rsidR="00672912" w:rsidRPr="00ED11F9" w:rsidSect="007237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1EDAF1" w14:textId="77777777" w:rsidR="00187A62" w:rsidRDefault="00187A62" w:rsidP="000E3454">
      <w:pPr>
        <w:spacing w:after="0" w:line="240" w:lineRule="auto"/>
      </w:pPr>
      <w:r>
        <w:separator/>
      </w:r>
    </w:p>
  </w:endnote>
  <w:endnote w:type="continuationSeparator" w:id="0">
    <w:p w14:paraId="081C2E97" w14:textId="77777777" w:rsidR="00187A62" w:rsidRDefault="00187A62" w:rsidP="000E3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1D8EB" w14:textId="77777777" w:rsidR="00F334B5" w:rsidRDefault="00F334B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DAC1C" w14:textId="77777777" w:rsidR="00F334B5" w:rsidRDefault="00F334B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D58BB" w14:textId="77777777" w:rsidR="00F334B5" w:rsidRDefault="00F334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278852" w14:textId="77777777" w:rsidR="00187A62" w:rsidRDefault="00187A62" w:rsidP="000E3454">
      <w:pPr>
        <w:spacing w:after="0" w:line="240" w:lineRule="auto"/>
      </w:pPr>
      <w:r>
        <w:separator/>
      </w:r>
    </w:p>
  </w:footnote>
  <w:footnote w:type="continuationSeparator" w:id="0">
    <w:p w14:paraId="58885E89" w14:textId="77777777" w:rsidR="00187A62" w:rsidRDefault="00187A62" w:rsidP="000E34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D49EE" w14:textId="77777777" w:rsidR="000E3454" w:rsidRDefault="000E3454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3227644"/>
      <w:docPartObj>
        <w:docPartGallery w:val="Page Numbers (Top of Page)"/>
        <w:docPartUnique/>
      </w:docPartObj>
    </w:sdtPr>
    <w:sdtEndPr/>
    <w:sdtContent>
      <w:p w14:paraId="41A20A63" w14:textId="2FF29BF5" w:rsidR="00E67CD5" w:rsidRDefault="00E67CD5">
        <w:pPr>
          <w:pStyle w:val="a3"/>
          <w:jc w:val="center"/>
        </w:pPr>
        <w:r w:rsidRPr="007237E4">
          <w:rPr>
            <w:sz w:val="24"/>
            <w:szCs w:val="24"/>
          </w:rPr>
          <w:fldChar w:fldCharType="begin"/>
        </w:r>
        <w:r w:rsidRPr="007237E4">
          <w:rPr>
            <w:sz w:val="24"/>
            <w:szCs w:val="24"/>
          </w:rPr>
          <w:instrText>PAGE   \* MERGEFORMAT</w:instrText>
        </w:r>
        <w:r w:rsidRPr="007237E4">
          <w:rPr>
            <w:sz w:val="24"/>
            <w:szCs w:val="24"/>
          </w:rPr>
          <w:fldChar w:fldCharType="separate"/>
        </w:r>
        <w:r w:rsidRPr="007237E4">
          <w:rPr>
            <w:sz w:val="24"/>
            <w:szCs w:val="24"/>
            <w:lang w:val="ru-RU"/>
          </w:rPr>
          <w:t>2</w:t>
        </w:r>
        <w:r w:rsidRPr="007237E4">
          <w:rPr>
            <w:sz w:val="24"/>
            <w:szCs w:val="24"/>
          </w:rPr>
          <w:fldChar w:fldCharType="end"/>
        </w:r>
      </w:p>
    </w:sdtContent>
  </w:sdt>
  <w:p w14:paraId="4B917937" w14:textId="77777777" w:rsidR="000E3454" w:rsidRDefault="000E3454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610E2" w14:textId="1E19753D" w:rsidR="00D403D1" w:rsidRPr="00A42428" w:rsidRDefault="00D403D1" w:rsidP="00A42428">
    <w:pPr>
      <w:spacing w:after="0" w:line="276" w:lineRule="auto"/>
      <w:ind w:left="0" w:right="0" w:firstLine="0"/>
      <w:jc w:val="right"/>
      <w:rPr>
        <w:rFonts w:eastAsiaTheme="majorEastAsia"/>
        <w:bCs/>
        <w:color w:val="004F88"/>
        <w:szCs w:val="28"/>
        <w:lang w:val="ru-RU"/>
      </w:rPr>
    </w:pPr>
    <w:bookmarkStart w:id="1" w:name="_GoBack"/>
    <w:r w:rsidRPr="00A42428">
      <w:rPr>
        <w:rFonts w:eastAsiaTheme="majorEastAsia"/>
        <w:bCs/>
        <w:color w:val="004F88"/>
        <w:szCs w:val="28"/>
        <w:lang w:val="ru-RU"/>
      </w:rPr>
      <w:t>Приложение № 6</w:t>
    </w:r>
  </w:p>
  <w:p w14:paraId="18170B95" w14:textId="0FAF17BE" w:rsidR="000E3454" w:rsidRPr="00A42428" w:rsidRDefault="00597AF9" w:rsidP="00A42428">
    <w:pPr>
      <w:spacing w:after="0" w:line="240" w:lineRule="auto"/>
      <w:ind w:left="0" w:right="0" w:firstLine="0"/>
      <w:jc w:val="right"/>
      <w:rPr>
        <w:rFonts w:eastAsiaTheme="majorEastAsia"/>
        <w:bCs/>
        <w:color w:val="004F88"/>
        <w:szCs w:val="28"/>
        <w:lang w:val="ru-RU"/>
      </w:rPr>
    </w:pPr>
    <w:r w:rsidRPr="00A42428">
      <w:rPr>
        <w:rFonts w:eastAsiaTheme="majorEastAsia"/>
        <w:bCs/>
        <w:color w:val="004F88"/>
        <w:szCs w:val="28"/>
        <w:lang w:val="ru-RU"/>
      </w:rPr>
      <w:t xml:space="preserve">к Методическим рекомендациям по наполнению </w:t>
    </w:r>
    <w:r w:rsidRPr="00A42428">
      <w:rPr>
        <w:rFonts w:eastAsiaTheme="majorEastAsia"/>
        <w:bCs/>
        <w:color w:val="004F88"/>
        <w:szCs w:val="28"/>
        <w:lang w:val="ru-RU"/>
      </w:rPr>
      <w:br/>
      <w:t xml:space="preserve">шаблонов Региональной программы развития экспорта </w:t>
    </w:r>
    <w:r w:rsidRPr="00A42428">
      <w:rPr>
        <w:rFonts w:eastAsiaTheme="majorEastAsia"/>
        <w:bCs/>
        <w:color w:val="004F88"/>
        <w:szCs w:val="28"/>
        <w:lang w:val="ru-RU"/>
      </w:rPr>
      <w:br/>
      <w:t>субъекта Российской Федерации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CC0CAB"/>
    <w:multiLevelType w:val="hybridMultilevel"/>
    <w:tmpl w:val="50D2180A"/>
    <w:lvl w:ilvl="0" w:tplc="B3101686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D496E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A2800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3A14D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318D79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202BAF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E0A97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CAD0B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B80C7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FB1825"/>
    <w:multiLevelType w:val="hybridMultilevel"/>
    <w:tmpl w:val="E298A51E"/>
    <w:lvl w:ilvl="0" w:tplc="047C42C8">
      <w:start w:val="1"/>
      <w:numFmt w:val="decimal"/>
      <w:lvlText w:val="%1.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7C256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A84225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4206D1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A1296B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03C14B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66BD7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62D53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ABCC49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A920399"/>
    <w:multiLevelType w:val="hybridMultilevel"/>
    <w:tmpl w:val="8DB4B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23DB1"/>
    <w:multiLevelType w:val="hybridMultilevel"/>
    <w:tmpl w:val="E02CB0A6"/>
    <w:lvl w:ilvl="0" w:tplc="61649474">
      <w:start w:val="1"/>
      <w:numFmt w:val="decimal"/>
      <w:lvlText w:val="%1."/>
      <w:lvlJc w:val="left"/>
      <w:pPr>
        <w:ind w:left="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FBE97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A046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7EB0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DE623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70892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5C92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CE47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940B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5136580"/>
    <w:multiLevelType w:val="hybridMultilevel"/>
    <w:tmpl w:val="4AACF8C2"/>
    <w:lvl w:ilvl="0" w:tplc="EC60ABF2">
      <w:start w:val="2"/>
      <w:numFmt w:val="decimal"/>
      <w:lvlText w:val="%1."/>
      <w:lvlJc w:val="left"/>
      <w:pPr>
        <w:ind w:left="1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303870">
      <w:start w:val="1"/>
      <w:numFmt w:val="lowerLetter"/>
      <w:lvlText w:val="%2"/>
      <w:lvlJc w:val="left"/>
      <w:pPr>
        <w:ind w:left="2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5F2C4EC">
      <w:start w:val="1"/>
      <w:numFmt w:val="lowerRoman"/>
      <w:lvlText w:val="%3"/>
      <w:lvlJc w:val="left"/>
      <w:pPr>
        <w:ind w:left="3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C02B6DA">
      <w:start w:val="1"/>
      <w:numFmt w:val="decimal"/>
      <w:lvlText w:val="%4"/>
      <w:lvlJc w:val="left"/>
      <w:pPr>
        <w:ind w:left="4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39E7AD2">
      <w:start w:val="1"/>
      <w:numFmt w:val="lowerLetter"/>
      <w:lvlText w:val="%5"/>
      <w:lvlJc w:val="left"/>
      <w:pPr>
        <w:ind w:left="4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F2C642">
      <w:start w:val="1"/>
      <w:numFmt w:val="lowerRoman"/>
      <w:lvlText w:val="%6"/>
      <w:lvlJc w:val="left"/>
      <w:pPr>
        <w:ind w:left="5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26DE32">
      <w:start w:val="1"/>
      <w:numFmt w:val="decimal"/>
      <w:lvlText w:val="%7"/>
      <w:lvlJc w:val="left"/>
      <w:pPr>
        <w:ind w:left="6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4B290AE">
      <w:start w:val="1"/>
      <w:numFmt w:val="lowerLetter"/>
      <w:lvlText w:val="%8"/>
      <w:lvlJc w:val="left"/>
      <w:pPr>
        <w:ind w:left="7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08EA3E">
      <w:start w:val="1"/>
      <w:numFmt w:val="lowerRoman"/>
      <w:lvlText w:val="%9"/>
      <w:lvlJc w:val="left"/>
      <w:pPr>
        <w:ind w:left="7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4220F18"/>
    <w:multiLevelType w:val="hybridMultilevel"/>
    <w:tmpl w:val="933A9D34"/>
    <w:lvl w:ilvl="0" w:tplc="5364798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D2CD3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C2343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A2CBC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B2639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4DE024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F8FF2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A78E12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D666B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A9C0E96"/>
    <w:multiLevelType w:val="hybridMultilevel"/>
    <w:tmpl w:val="836E8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BF241B"/>
    <w:multiLevelType w:val="hybridMultilevel"/>
    <w:tmpl w:val="A7060290"/>
    <w:lvl w:ilvl="0" w:tplc="99582E0C">
      <w:start w:val="1"/>
      <w:numFmt w:val="decimal"/>
      <w:lvlText w:val="%1."/>
      <w:lvlJc w:val="left"/>
      <w:pPr>
        <w:ind w:left="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106B92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F5C3C32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2366AD6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E8F026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EA5182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522E8A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22770E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BEE3F60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490"/>
    <w:rsid w:val="00045F47"/>
    <w:rsid w:val="00092AE8"/>
    <w:rsid w:val="000B6CC5"/>
    <w:rsid w:val="000E3454"/>
    <w:rsid w:val="000F3960"/>
    <w:rsid w:val="000F6D7B"/>
    <w:rsid w:val="00114ABB"/>
    <w:rsid w:val="00132D28"/>
    <w:rsid w:val="0014228C"/>
    <w:rsid w:val="00184821"/>
    <w:rsid w:val="00187A62"/>
    <w:rsid w:val="001C5A90"/>
    <w:rsid w:val="001D161F"/>
    <w:rsid w:val="00222849"/>
    <w:rsid w:val="0022399F"/>
    <w:rsid w:val="00231416"/>
    <w:rsid w:val="002737ED"/>
    <w:rsid w:val="002A7BD1"/>
    <w:rsid w:val="002B36EF"/>
    <w:rsid w:val="002C3053"/>
    <w:rsid w:val="00305DD5"/>
    <w:rsid w:val="003503DC"/>
    <w:rsid w:val="0035651E"/>
    <w:rsid w:val="0036211C"/>
    <w:rsid w:val="00370F76"/>
    <w:rsid w:val="0039266E"/>
    <w:rsid w:val="0047706F"/>
    <w:rsid w:val="00477C30"/>
    <w:rsid w:val="00484485"/>
    <w:rsid w:val="00493277"/>
    <w:rsid w:val="004B42F2"/>
    <w:rsid w:val="004D67C2"/>
    <w:rsid w:val="004F4B61"/>
    <w:rsid w:val="00515B4D"/>
    <w:rsid w:val="0054073E"/>
    <w:rsid w:val="00597AF9"/>
    <w:rsid w:val="005A0E81"/>
    <w:rsid w:val="005A3F6F"/>
    <w:rsid w:val="005C1734"/>
    <w:rsid w:val="005C749F"/>
    <w:rsid w:val="005D0873"/>
    <w:rsid w:val="00606887"/>
    <w:rsid w:val="00626A40"/>
    <w:rsid w:val="0063194F"/>
    <w:rsid w:val="006435D1"/>
    <w:rsid w:val="00650CCF"/>
    <w:rsid w:val="00672912"/>
    <w:rsid w:val="006747A8"/>
    <w:rsid w:val="00695024"/>
    <w:rsid w:val="006B17D6"/>
    <w:rsid w:val="006D20D4"/>
    <w:rsid w:val="006D3A65"/>
    <w:rsid w:val="006F10F3"/>
    <w:rsid w:val="006F5B6C"/>
    <w:rsid w:val="0071203B"/>
    <w:rsid w:val="007237E4"/>
    <w:rsid w:val="00751AF8"/>
    <w:rsid w:val="00761B26"/>
    <w:rsid w:val="007A5501"/>
    <w:rsid w:val="007C7E87"/>
    <w:rsid w:val="00861FEE"/>
    <w:rsid w:val="008925F0"/>
    <w:rsid w:val="008C19BF"/>
    <w:rsid w:val="008F6F40"/>
    <w:rsid w:val="00936111"/>
    <w:rsid w:val="009407BD"/>
    <w:rsid w:val="009B2D72"/>
    <w:rsid w:val="009B46C5"/>
    <w:rsid w:val="009C5146"/>
    <w:rsid w:val="009D14BB"/>
    <w:rsid w:val="009E1ADE"/>
    <w:rsid w:val="009F37EF"/>
    <w:rsid w:val="00A2341F"/>
    <w:rsid w:val="00A42428"/>
    <w:rsid w:val="00A45DFD"/>
    <w:rsid w:val="00B2045F"/>
    <w:rsid w:val="00B2398E"/>
    <w:rsid w:val="00B24716"/>
    <w:rsid w:val="00BE6AEF"/>
    <w:rsid w:val="00CA3E53"/>
    <w:rsid w:val="00CC3361"/>
    <w:rsid w:val="00D403D1"/>
    <w:rsid w:val="00D453AA"/>
    <w:rsid w:val="00D90173"/>
    <w:rsid w:val="00D945EF"/>
    <w:rsid w:val="00D95520"/>
    <w:rsid w:val="00DB61E6"/>
    <w:rsid w:val="00DE6D5F"/>
    <w:rsid w:val="00E00221"/>
    <w:rsid w:val="00E13244"/>
    <w:rsid w:val="00E5341B"/>
    <w:rsid w:val="00E67CD5"/>
    <w:rsid w:val="00EA3234"/>
    <w:rsid w:val="00EB2490"/>
    <w:rsid w:val="00EB751F"/>
    <w:rsid w:val="00ED11F9"/>
    <w:rsid w:val="00EE09F9"/>
    <w:rsid w:val="00EF4BBC"/>
    <w:rsid w:val="00EF6EE7"/>
    <w:rsid w:val="00F1530C"/>
    <w:rsid w:val="00F24F41"/>
    <w:rsid w:val="00F334B5"/>
    <w:rsid w:val="00F83428"/>
    <w:rsid w:val="00FA37C6"/>
    <w:rsid w:val="00FE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B9D528"/>
  <w15:chartTrackingRefBased/>
  <w15:docId w15:val="{CC82373E-4A04-4DEC-A838-16CD4FCB4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lang w:val="ru-RU" w:eastAsia="zh-C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2912"/>
    <w:pPr>
      <w:spacing w:after="4" w:line="286" w:lineRule="auto"/>
      <w:ind w:left="10" w:right="6" w:hanging="10"/>
      <w:jc w:val="both"/>
    </w:pPr>
    <w:rPr>
      <w:rFonts w:ascii="Times New Roman" w:eastAsia="Times New Roman" w:hAnsi="Times New Roman" w:cs="Times New Roman"/>
      <w:color w:val="000000"/>
      <w:sz w:val="28"/>
      <w:szCs w:val="22"/>
      <w:lang w:val="en-US" w:eastAsia="en-US" w:bidi="ar-SA"/>
    </w:rPr>
  </w:style>
  <w:style w:type="paragraph" w:styleId="1">
    <w:name w:val="heading 1"/>
    <w:next w:val="a"/>
    <w:link w:val="10"/>
    <w:uiPriority w:val="9"/>
    <w:unhideWhenUsed/>
    <w:qFormat/>
    <w:rsid w:val="000E3454"/>
    <w:pPr>
      <w:keepNext/>
      <w:keepLines/>
      <w:spacing w:after="150"/>
      <w:ind w:left="2079" w:right="1201" w:hanging="10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3454"/>
  </w:style>
  <w:style w:type="paragraph" w:styleId="a5">
    <w:name w:val="footer"/>
    <w:basedOn w:val="a"/>
    <w:link w:val="a6"/>
    <w:uiPriority w:val="99"/>
    <w:unhideWhenUsed/>
    <w:rsid w:val="000E3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3454"/>
  </w:style>
  <w:style w:type="character" w:customStyle="1" w:styleId="10">
    <w:name w:val="Заголовок 1 Знак"/>
    <w:basedOn w:val="a0"/>
    <w:link w:val="1"/>
    <w:uiPriority w:val="9"/>
    <w:rsid w:val="000E3454"/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paragraph" w:styleId="a7">
    <w:name w:val="List Paragraph"/>
    <w:basedOn w:val="a"/>
    <w:uiPriority w:val="34"/>
    <w:qFormat/>
    <w:rsid w:val="002737ED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4073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4073E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4073E"/>
    <w:rPr>
      <w:rFonts w:ascii="Times New Roman" w:eastAsia="Times New Roman" w:hAnsi="Times New Roman" w:cs="Times New Roman"/>
      <w:color w:val="000000"/>
      <w:sz w:val="20"/>
      <w:lang w:val="en-US" w:eastAsia="en-US" w:bidi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4073E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4073E"/>
    <w:rPr>
      <w:rFonts w:ascii="Times New Roman" w:eastAsia="Times New Roman" w:hAnsi="Times New Roman" w:cs="Times New Roman"/>
      <w:b/>
      <w:bCs/>
      <w:color w:val="000000"/>
      <w:sz w:val="20"/>
      <w:lang w:val="en-US" w:eastAsia="en-US" w:bidi="ar-SA"/>
    </w:rPr>
  </w:style>
  <w:style w:type="paragraph" w:styleId="ad">
    <w:name w:val="Balloon Text"/>
    <w:basedOn w:val="a"/>
    <w:link w:val="ae"/>
    <w:uiPriority w:val="99"/>
    <w:semiHidden/>
    <w:unhideWhenUsed/>
    <w:rsid w:val="00540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4073E"/>
    <w:rPr>
      <w:rFonts w:ascii="Segoe UI" w:eastAsia="Times New Roman" w:hAnsi="Segoe UI" w:cs="Segoe UI"/>
      <w:color w:val="000000"/>
      <w:sz w:val="18"/>
      <w:szCs w:val="18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24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F2001-3848-460A-9BB1-CE73B3314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Кувшинов</dc:creator>
  <cp:keywords/>
  <dc:description/>
  <cp:lastModifiedBy>Джаббаров Наиль Зохрабович</cp:lastModifiedBy>
  <cp:revision>9</cp:revision>
  <cp:lastPrinted>2024-10-25T14:38:00Z</cp:lastPrinted>
  <dcterms:created xsi:type="dcterms:W3CDTF">2024-10-25T13:19:00Z</dcterms:created>
  <dcterms:modified xsi:type="dcterms:W3CDTF">2024-12-16T12:13:00Z</dcterms:modified>
</cp:coreProperties>
</file>