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Извещение о проведении аукциона по определению организации, осуществляющей эксплуатацию специализированной стоянки, а также перемещение задержанных транспортных средств и маломерных судов на специализированную стоянку, их хранение и возврат на территории Елизовского муниципального района Камчатского края</w:t>
      </w:r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Организатор аукциона - Министерство транспорта и дорожного строительства Камчатского края (далее – организатор аукциона, Министерство).</w:t>
      </w:r>
    </w:p>
    <w:p>
      <w:pPr>
        <w:pStyle w:val="Normal"/>
        <w:spacing w:before="0" w:after="0"/>
        <w:ind w:firstLine="36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Место нахождения: 683032, г. Петропавловск-Камчатский, ул. Пограничная, д. 14а, 4 этаж.</w:t>
      </w:r>
      <w:r>
        <w:rPr/>
        <w:t xml:space="preserve">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Почтовый адрес организатора аукциона: 683032, г. Петропавловск-Камчатский, ул. Пограничная, д. 14а.</w:t>
      </w:r>
    </w:p>
    <w:p>
      <w:pPr>
        <w:pStyle w:val="Normal"/>
        <w:spacing w:before="0"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электронной почты: </w:t>
      </w:r>
      <w:hyperlink r:id="rId2">
        <w:r>
          <w:rPr>
            <w:rFonts w:cs="Times New Roman" w:ascii="Times New Roman" w:hAnsi="Times New Roman"/>
            <w:sz w:val="28"/>
            <w:szCs w:val="28"/>
          </w:rPr>
          <w:t>mintrans@kamgov.ru.</w:t>
        </w:r>
      </w:hyperlink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Предмет аукциона – право заключения договора с хозяйствующим субъектом на осуществление деятельности по эксплуатации специализированной стоянки, а также перемещению задержанных транспортных средств и маломерных судов на специализированную стоянку, их хранению и возврату на территории Елизовского муниципального района Камчатского края.</w:t>
      </w:r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Начальной максимальной ценой аукциона являются базовые тарифы на перемещение и хранение задержанных транспортных средств и маломерных судов на территории Елизовского муниципального района Камчатского края, утвержденные постановлением Региональной службы по тарифам и ценам Камчатского края от 02.04.2025 года № 74-Н «Об установлении базового уровня тарифов на перемещение и хранение задержанных транспортных средств и маломерных судов на территории Елизовского муниципального района Камчатского края на 2025 год», что составляет: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681"/>
        <w:gridCol w:w="2808"/>
        <w:gridCol w:w="3149"/>
      </w:tblGrid>
      <w:tr>
        <w:trPr>
          <w:trHeight w:val="996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 тариф на хранение одного транспортного средства, в рублях за 1 час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Базовый тариф на перемещение, в рублях за одно транспортное средство</w:t>
            </w:r>
            <w:r>
              <w:rPr>
                <w:rStyle w:val="FootnoteReference"/>
                <w:rFonts w:cs="Times New Roman" w:ascii="Times New Roman" w:hAnsi="Times New Roman"/>
                <w:sz w:val="24"/>
                <w:szCs w:val="24"/>
              </w:rPr>
              <w:footnoteReference w:id="2"/>
            </w:r>
          </w:p>
        </w:tc>
      </w:tr>
      <w:tr>
        <w:trPr>
          <w:trHeight w:val="142" w:hRule="atLeast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Транспортные средства:</w:t>
            </w:r>
          </w:p>
        </w:tc>
      </w:tr>
      <w:tr>
        <w:trPr>
          <w:trHeight w:val="349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категории «А», «М»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10 308</w:t>
            </w:r>
          </w:p>
        </w:tc>
      </w:tr>
      <w:tr>
        <w:trPr>
          <w:trHeight w:val="884" w:hRule="atLeast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117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16 096</w:t>
            </w:r>
            <w:bookmarkStart w:id="0" w:name="_GoBack_Копия_2"/>
            <w:bookmarkEnd w:id="0"/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174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23 787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231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kern w:val="0"/>
                <w:sz w:val="24"/>
                <w:szCs w:val="24"/>
                <w:lang w:val="ru-RU" w:bidi="ar-SA"/>
              </w:rPr>
              <w:t>31 716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Маломерные суда: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до 5 м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273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39 076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от 5 м до 10 м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410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46 892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547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54 708</w:t>
            </w:r>
          </w:p>
        </w:tc>
      </w:tr>
      <w:tr>
        <w:trPr/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574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bCs/>
                <w:color w:val="auto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auto"/>
                <w:kern w:val="0"/>
                <w:sz w:val="24"/>
                <w:szCs w:val="24"/>
                <w:lang w:val="ru-RU" w:bidi="ar-SA"/>
              </w:rPr>
              <w:t>62 522</w:t>
            </w:r>
          </w:p>
        </w:tc>
      </w:tr>
    </w:tbl>
    <w:p>
      <w:pPr>
        <w:pStyle w:val="ListParagraph"/>
        <w:spacing w:before="0"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Примечания: 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Базовый уровень тарифов указан с учетом налога на добавленную стоимость для организаций-плательщиков налога на добавленную стоимость и без учета налога на добавленную стоимость для организаций, применяющих упрощенную систему налогообложения.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Величина понижения начальной максимальной цены предмета аукциона («шаг аукциона») устанавливается в размере 5% от начальной цены аукциона, что составляет:</w:t>
      </w:r>
    </w:p>
    <w:tbl>
      <w:tblPr>
        <w:tblW w:w="5000" w:type="pct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3405"/>
        <w:gridCol w:w="3084"/>
        <w:gridCol w:w="3149"/>
      </w:tblGrid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Наименование категории транспортного средства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«Шаг аукциона» на хранение одного транспортного средства,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рублях за 1 час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«Шаг аукциона» на перемещение,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рублях за одно транспортное средство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Транспортные средства: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категории «А», «М»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515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категории «B», «D» разрешенной максимальной массой не более 3,5 тонн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805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категории «С», «D», «ВЕ», «СЕ», «DЕ» разрешенной массой более 3,5 тонн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1 189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негабаритные транспортные средства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1 586</w:t>
            </w:r>
          </w:p>
        </w:tc>
      </w:tr>
      <w:tr>
        <w:trPr/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Маломерные суда: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до 5 м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1 954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от 5 м до 10 м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2 345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от 10 м до 15 м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2 735</w:t>
            </w:r>
          </w:p>
        </w:tc>
      </w:tr>
      <w:tr>
        <w:trPr/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судно длиной от 15 м до 20 м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1560" w:leader="none"/>
              </w:tabs>
              <w:suppressAutoHyphens w:val="true"/>
              <w:spacing w:before="0" w:after="0"/>
              <w:jc w:val="center"/>
              <w:rPr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3 126</w:t>
            </w:r>
          </w:p>
        </w:tc>
      </w:tr>
    </w:tbl>
    <w:p>
      <w:pPr>
        <w:pStyle w:val="ListParagrap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numPr>
          <w:ilvl w:val="0"/>
          <w:numId w:val="1"/>
        </w:numPr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Заявителем на участие в аукционе может быть юридическое лицо или индивидуальный предприниматель, осуществляющее(ий) на территории Камчатского края деятельность по эксплуатации специализированной стоянки, а также перемещению задержанных транспортных средств на специализированную стоянку, их хранению и возврату (далее – заявитель).</w:t>
      </w:r>
    </w:p>
    <w:p>
      <w:pPr>
        <w:pStyle w:val="ListParagraph"/>
        <w:numPr>
          <w:ilvl w:val="0"/>
          <w:numId w:val="1"/>
        </w:numPr>
        <w:ind w:firstLine="36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 места приема заявок: 683032, г. Петропавловск-Камчатский, </w:t>
        <w:br/>
        <w:t>ул. Пограничная, д. 14а, 4 этаж, кабинет 7.</w:t>
      </w:r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и время начала приема заявок на участие в аукционе: </w:t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02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.04.2025 </w:t>
      </w:r>
      <w:r>
        <w:rPr>
          <w:rFonts w:cs="Times New Roman" w:ascii="Times New Roman" w:hAnsi="Times New Roman"/>
          <w:b/>
          <w:sz w:val="28"/>
          <w:szCs w:val="28"/>
        </w:rPr>
        <w:t>года, 10.00.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и время окончания срока приема заявок на участие в аукционе: </w:t>
      </w:r>
      <w:r>
        <w:rPr>
          <w:rFonts w:cs="Times New Roman" w:ascii="Times New Roman" w:hAnsi="Times New Roman"/>
          <w:b/>
          <w:bCs/>
          <w:sz w:val="28"/>
          <w:szCs w:val="28"/>
        </w:rPr>
        <w:t>30</w:t>
      </w:r>
      <w:r>
        <w:rPr>
          <w:rFonts w:cs="Times New Roman" w:ascii="Times New Roman" w:hAnsi="Times New Roman"/>
          <w:b/>
          <w:bCs/>
          <w:sz w:val="28"/>
          <w:szCs w:val="28"/>
        </w:rPr>
        <w:t>.04.2025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года, 10.00.</w:t>
      </w:r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Место рассмотрения заявок на участие в аукционе: 683032, г. Петропавловск-Камчатский, ул. Пограничная, д. 14а, 4 этаж, кабинет </w:t>
      </w:r>
      <w:r>
        <w:rPr>
          <w:rFonts w:cs="Times New Roman" w:ascii="Times New Roman" w:hAnsi="Times New Roman"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spacing w:before="0" w:after="0"/>
        <w:ind w:firstLine="720" w:lef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Дата</w:t>
      </w:r>
      <w:r>
        <w:rPr>
          <w:rFonts w:cs="Times New Roman" w:ascii="Times New Roman" w:hAnsi="Times New Roman"/>
          <w:sz w:val="28"/>
          <w:szCs w:val="28"/>
        </w:rPr>
        <w:t xml:space="preserve"> рассмотрения комиссией заявок на участие в аукционе </w:t>
        <w:br/>
      </w:r>
      <w:r>
        <w:rPr>
          <w:rFonts w:cs="Times New Roman" w:ascii="Times New Roman" w:hAnsi="Times New Roman"/>
          <w:b/>
          <w:bCs/>
          <w:sz w:val="28"/>
          <w:szCs w:val="28"/>
        </w:rPr>
        <w:t>30</w:t>
      </w:r>
      <w:r>
        <w:rPr>
          <w:rFonts w:cs="Times New Roman" w:ascii="Times New Roman" w:hAnsi="Times New Roman"/>
          <w:b/>
          <w:bCs/>
          <w:sz w:val="28"/>
          <w:szCs w:val="28"/>
        </w:rPr>
        <w:t>.0</w:t>
      </w:r>
      <w:r>
        <w:rPr>
          <w:rFonts w:cs="Times New Roman" w:ascii="Times New Roman" w:hAnsi="Times New Roman"/>
          <w:b/>
          <w:sz w:val="28"/>
          <w:szCs w:val="28"/>
        </w:rPr>
        <w:t>4.2025 года.</w:t>
      </w:r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Адрес места проведения аукциона: 683032, г. Петропавловск-Камчатский, ул. Пограничная, д. 14а, 4 этаж, конференц-зал.</w:t>
      </w:r>
    </w:p>
    <w:p>
      <w:pPr>
        <w:pStyle w:val="ListParagraph"/>
        <w:spacing w:before="0" w:after="0"/>
        <w:ind w:left="36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</w:rPr>
        <w:t xml:space="preserve">Дата и время проведения аукциона: </w:t>
      </w:r>
      <w:r>
        <w:rPr>
          <w:rFonts w:cs="Times New Roman" w:ascii="Times New Roman" w:hAnsi="Times New Roman"/>
          <w:b/>
          <w:bCs/>
          <w:sz w:val="28"/>
          <w:szCs w:val="28"/>
        </w:rPr>
        <w:t>05</w:t>
      </w:r>
      <w:r>
        <w:rPr>
          <w:rFonts w:cs="Times New Roman" w:ascii="Times New Roman" w:hAnsi="Times New Roman"/>
          <w:b/>
          <w:bCs/>
          <w:sz w:val="28"/>
          <w:szCs w:val="28"/>
        </w:rPr>
        <w:t>.</w:t>
      </w:r>
      <w:r>
        <w:rPr>
          <w:rFonts w:cs="Times New Roman" w:ascii="Times New Roman" w:hAnsi="Times New Roman"/>
          <w:b/>
          <w:bCs/>
          <w:sz w:val="28"/>
          <w:szCs w:val="28"/>
        </w:rPr>
        <w:t>05</w:t>
      </w:r>
      <w:r>
        <w:rPr>
          <w:rFonts w:cs="Times New Roman" w:ascii="Times New Roman" w:hAnsi="Times New Roman"/>
          <w:b/>
          <w:bCs/>
          <w:sz w:val="28"/>
          <w:szCs w:val="28"/>
        </w:rPr>
        <w:t>.2025</w:t>
      </w:r>
      <w:r>
        <w:rPr>
          <w:rFonts w:cs="Times New Roman" w:ascii="Times New Roman" w:hAnsi="Times New Roman"/>
          <w:b/>
          <w:sz w:val="28"/>
          <w:szCs w:val="28"/>
        </w:rPr>
        <w:t xml:space="preserve"> года, 15.00.</w:t>
      </w:r>
      <w:r>
        <w:rPr/>
        <w:t xml:space="preserve"> </w:t>
      </w:r>
    </w:p>
    <w:p>
      <w:pPr>
        <w:pStyle w:val="ListParagraph"/>
        <w:numPr>
          <w:ilvl w:val="0"/>
          <w:numId w:val="1"/>
        </w:numPr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Документация об аукционе в электронной форме размещена на</w:t>
      </w:r>
      <w:bookmarkStart w:id="1" w:name="_GoBack"/>
      <w:bookmarkEnd w:id="1"/>
      <w:r>
        <w:rPr>
          <w:rFonts w:cs="Times New Roman" w:ascii="Times New Roman" w:hAnsi="Times New Roman"/>
          <w:sz w:val="28"/>
          <w:szCs w:val="28"/>
        </w:rPr>
        <w:t xml:space="preserve"> странице Министерства на официальном сайте исполнительных органов государственной власти Камчатского края в информационно-телекоммуникационной сети «Интернет» (далее – официальный сайт): https://www.kamgov.ru/mintrans.</w:t>
      </w:r>
    </w:p>
    <w:p>
      <w:pPr>
        <w:pStyle w:val="Normal"/>
        <w:spacing w:before="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После даты размещения извещения о проведении аукциона организатором аукциона на основании поданного в письменной форме заявления любого заинтересованного лица в течение 2 рабочих дней с даты получения соответствующего заявления предоставляется такому лицу аукционная документация в письменной форме по адресу: 683032, г. Петропавловск-Камчатский, ул. Пограничная, д. 14а, 4 этаж, кабинет 7, в рабочие дни </w:t>
        <w:br/>
        <w:t xml:space="preserve">с 10.00 до 16.00 (перерыв с 12.15 до 13.03). </w:t>
      </w:r>
    </w:p>
    <w:p>
      <w:pPr>
        <w:pStyle w:val="ListParagraph"/>
        <w:spacing w:before="0" w:after="0"/>
        <w:ind w:firstLine="72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Плата за предоставление документации об аукционе в письменной форме не взимается.</w:t>
      </w:r>
    </w:p>
    <w:p>
      <w:pPr>
        <w:pStyle w:val="ListParagraph"/>
        <w:spacing w:before="0" w:after="0"/>
        <w:ind w:firstLine="72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Предоставление аукционной документации до размещения извещения о проведении аукциона на официальном сайте не допускается.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Территория осуществления деятельности по эксплуатации специализированной стоянки, а также перемещению транспортных средств на специализированную стоянку, их хранению и возврату транспортных средств и маломерных судов – территория Елизовского муниципального района Камчатского края.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Минимальное необходимое количество мест размещения задержанных транспортных средств на специализированной стоянке – 20 мест.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before="0" w:after="0"/>
        <w:ind w:firstLine="360"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Минимальное необходимое количество и тип специализированных транспортных средств, при помощи которых осуществляется перемещение задержанных транспортных средств на специализированную стоянку - 2 единицы грузового автопогрузчика.</w:t>
      </w:r>
    </w:p>
    <w:sectPr>
      <w:footnotePr>
        <w:numFmt w:val="decimal"/>
      </w:footnote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Times New Roman" w:hAnsi="Times New Roman" w:cs="Times New Roman"/>
        </w:rPr>
      </w:pPr>
      <w:r>
        <w:rPr>
          <w:rStyle w:val="Style16"/>
        </w:rPr>
        <w:footnoteRef/>
      </w: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Базовый уровень тарифа на перемещение задержанного транспортного средства включает в себя погрузочно-разгрузочные работы и иные действия, связанные с перемещением задержанного транспортного средства.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bf460a"/>
    <w:rPr>
      <w:color w:themeColor="hyperlink" w:val="0000FF"/>
      <w:u w:val="single"/>
    </w:rPr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6719d1"/>
    <w:rPr>
      <w:rFonts w:ascii="Segoe UI" w:hAnsi="Segoe UI" w:cs="Segoe UI"/>
      <w:sz w:val="18"/>
      <w:szCs w:val="18"/>
    </w:rPr>
  </w:style>
  <w:style w:type="character" w:styleId="Style15" w:customStyle="1">
    <w:name w:val="Текст сноски Знак"/>
    <w:basedOn w:val="DefaultParagraphFont"/>
    <w:uiPriority w:val="99"/>
    <w:semiHidden/>
    <w:qFormat/>
    <w:rsid w:val="00a1224d"/>
    <w:rPr>
      <w:sz w:val="20"/>
      <w:szCs w:val="20"/>
    </w:rPr>
  </w:style>
  <w:style w:type="character" w:styleId="Style16">
    <w:name w:val="Символ сноски"/>
    <w:uiPriority w:val="99"/>
    <w:semiHidden/>
    <w:unhideWhenUsed/>
    <w:qFormat/>
    <w:rsid w:val="00a1224d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7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c7722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6719d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Style15"/>
    <w:uiPriority w:val="99"/>
    <w:semiHidden/>
    <w:unhideWhenUsed/>
    <w:rsid w:val="00a1224d"/>
    <w:pPr>
      <w:spacing w:lineRule="auto" w:line="240" w:before="0" w:after="0"/>
    </w:pPr>
    <w:rPr>
      <w:sz w:val="20"/>
      <w:szCs w:val="20"/>
    </w:rPr>
  </w:style>
  <w:style w:type="paragraph" w:styleId="Style20">
    <w:name w:val="Содержимое таблицы"/>
    <w:basedOn w:val="Normal"/>
    <w:qFormat/>
    <w:pPr>
      <w:widowControl w:val="false"/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intrans@kamgov.ru" TargetMode="Externa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CE1EE-F408-4D06-8E41-66C1B028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Application>LibreOffice/24.2.0.3$Windows_X86_64 LibreOffice_project/da48488a73ddd66ea24cf16bbc4f7b9c08e9bea1</Application>
  <AppVersion>15.0000</AppVersion>
  <Pages>4</Pages>
  <Words>789</Words>
  <Characters>5168</Characters>
  <CharactersWithSpaces>5874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2022-09-20T22:39:00Z</dcterms:created>
  <dc:creator>Сафонова Татьяна Сергеевна</dc:creator>
  <dc:description/>
  <dc:language>ru-RU</dc:language>
  <cp:lastModifiedBy/>
  <cp:lastPrinted>2022-07-21T08:05:00Z</cp:lastPrinted>
  <dcterms:modified xsi:type="dcterms:W3CDTF">2025-04-02T17:15:21Z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