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left="4962" w:right="0"/>
        <w:rPr>
          <w:sz w:val="28"/>
        </w:rPr>
      </w:pPr>
      <w:r>
        <w:rPr>
          <w:sz w:val="28"/>
        </w:rPr>
        <w:t>3</w:t>
      </w:r>
    </w:p>
    <w:p>
      <w:pPr>
        <w:pStyle w:val="Normal"/>
        <w:spacing w:lineRule="exact" w:line="283"/>
        <w:ind w:hanging="0" w:left="4962" w:right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pacing w:lineRule="exact" w:line="300"/>
        <w:ind w:hanging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>
      <w:pPr>
        <w:pStyle w:val="Normal"/>
        <w:spacing w:lineRule="exact" w:line="300"/>
        <w:ind w:hanging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spacing w:lineRule="exact" w:line="300"/>
        <w:ind w:hanging="0" w:left="5102" w:right="0"/>
        <w:jc w:val="both"/>
        <w:rPr/>
      </w:pPr>
      <w:r>
        <w:rPr>
          <w:sz w:val="28"/>
        </w:rPr>
        <w:t>от</w:t>
      </w:r>
      <w:r>
        <w:rPr>
          <w:i/>
          <w:iCs/>
          <w:sz w:val="28"/>
        </w:rPr>
        <w:t xml:space="preserve"> ____________</w:t>
      </w:r>
      <w:r>
        <w:rPr>
          <w:sz w:val="28"/>
        </w:rPr>
        <w:t xml:space="preserve"> № ________</w:t>
      </w:r>
    </w:p>
    <w:p>
      <w:pPr>
        <w:pStyle w:val="ConsPlusTitle1"/>
        <w:widowControl/>
        <w:spacing w:lineRule="exact" w:line="300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p>
      <w:pPr>
        <w:pStyle w:val="Normal"/>
        <w:widowControl/>
        <w:spacing w:lineRule="exact" w:line="300" w:before="0" w:after="0"/>
        <w:ind w:hanging="0" w:left="0" w:right="0"/>
        <w:jc w:val="center"/>
        <w:rPr>
          <w:b w:val="false"/>
          <w:sz w:val="28"/>
        </w:rPr>
      </w:pPr>
      <w:r>
        <w:rPr>
          <w:b w:val="false"/>
          <w:sz w:val="28"/>
        </w:rPr>
        <w:t xml:space="preserve">Состав аукционной комиссии </w:t>
      </w:r>
      <w:r>
        <w:rPr>
          <w:rFonts w:eastAsia="Tahoma" w:cs="Lohit Devanagari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проводимого в электронной форме</w:t>
      </w:r>
      <w:r>
        <w:rPr>
          <w:b w:val="false"/>
          <w:sz w:val="28"/>
        </w:rPr>
        <w:t xml:space="preserve"> аукциона</w:t>
      </w:r>
    </w:p>
    <w:p>
      <w:pPr>
        <w:pStyle w:val="Normal"/>
        <w:widowControl/>
        <w:spacing w:lineRule="exact" w:line="300" w:before="0" w:after="0"/>
        <w:ind w:hanging="0" w:left="0" w:right="0"/>
        <w:jc w:val="center"/>
        <w:rPr>
          <w:b w:val="false"/>
          <w:sz w:val="28"/>
        </w:rPr>
      </w:pPr>
      <w:r>
        <w:rPr>
          <w:b w:val="false"/>
          <w:sz w:val="28"/>
        </w:rPr>
        <w:t xml:space="preserve">на право пользования </w:t>
      </w:r>
      <w:r>
        <w:rPr>
          <w:b w:val="false"/>
          <w:color w:val="000000"/>
          <w:sz w:val="28"/>
        </w:rPr>
        <w:t>участком недр местного значения «ПК-206»</w:t>
      </w:r>
    </w:p>
    <w:p>
      <w:pPr>
        <w:pStyle w:val="Normal"/>
        <w:widowControl/>
        <w:spacing w:lineRule="exact" w:line="300" w:before="0" w:after="0"/>
        <w:ind w:hanging="0" w:left="0" w:right="0"/>
        <w:jc w:val="center"/>
        <w:rPr>
          <w:b w:val="false"/>
          <w:sz w:val="28"/>
        </w:rPr>
      </w:pPr>
      <w:r>
        <w:rPr>
          <w:b w:val="false"/>
          <w:color w:val="000000"/>
          <w:sz w:val="28"/>
        </w:rPr>
        <w:t>для геологичес</w:t>
      </w:r>
      <w:r>
        <w:rPr>
          <w:rFonts w:eastAsia="Tahoma" w:cs="Lohit Devanagari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кого изучения недр, разведки и добычи камня для строительства, осуществляемых по совмещенной лицензии</w:t>
      </w:r>
    </w:p>
    <w:p>
      <w:pPr>
        <w:pStyle w:val="Normal"/>
        <w:widowControl/>
        <w:spacing w:lineRule="exact" w:line="300" w:before="0" w:after="0"/>
        <w:ind w:hanging="0" w:left="0" w:right="0"/>
        <w:jc w:val="center"/>
        <w:rPr>
          <w:b w:val="false"/>
          <w:sz w:val="28"/>
        </w:rPr>
      </w:pPr>
      <w:r>
        <w:rPr>
          <w:b w:val="false"/>
          <w:sz w:val="28"/>
        </w:rPr>
        <w:t>(далее – Аукционная комиссия)</w:t>
      </w:r>
    </w:p>
    <w:p>
      <w:pPr>
        <w:pStyle w:val="ConsPlusTitle1"/>
        <w:widowControl/>
        <w:spacing w:lineRule="exact" w:line="300"/>
        <w:jc w:val="center"/>
        <w:rPr>
          <w:rFonts w:ascii="Times New Roman" w:hAnsi="Times New Roman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tbl>
      <w:tblPr>
        <w:tblStyle w:val="Style_3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5"/>
        <w:gridCol w:w="419"/>
        <w:gridCol w:w="5832"/>
      </w:tblGrid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края, председатель Аукционной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Браун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Людмила Александровна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kern w:val="0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Арнаутова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Алина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консультант отдела недропользования и горной промышленности Министерства природных ресурсов и экологии Камчатского края, член комиссии;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kern w:val="0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Саблина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Наталья Сергеевна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референт отдела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>охраны окружающей среды и государственной экологической экспертизы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 Министерства природных ресурсов и экологии Камчатского края,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Себова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Светлана Викторовна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по регулированию водных отношений Министерства природных ресурсов и экологии Камчатского края,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Труфанов</w:t>
            </w:r>
          </w:p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Владислав Алексеевич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1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согласованию), член комиссии;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kern w:val="0"/>
                <w:sz w:val="12"/>
                <w:szCs w:val="12"/>
              </w:rPr>
            </w:pPr>
            <w:r>
              <w:rPr>
                <w:kern w:val="0"/>
                <w:sz w:val="12"/>
                <w:szCs w:val="12"/>
              </w:rPr>
            </w:r>
          </w:p>
        </w:tc>
      </w:tr>
      <w:tr>
        <w:trPr>
          <w:trHeight w:val="852" w:hRule="atLeast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Юрков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Александрович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 xml:space="preserve">заместитель министра </w:t>
            </w:r>
            <w:r>
              <w:rPr>
                <w:b w:val="false"/>
                <w:spacing w:val="0"/>
                <w:kern w:val="0"/>
                <w:sz w:val="28"/>
                <w:szCs w:val="20"/>
              </w:rPr>
              <w:t>–</w:t>
            </w:r>
            <w:r>
              <w:rPr>
                <w:spacing w:val="0"/>
                <w:kern w:val="0"/>
                <w:sz w:val="28"/>
                <w:szCs w:val="20"/>
              </w:rPr>
              <w:t xml:space="preserve"> начальник управления по государственному контролю (надзору) управления государственного экологического надзора Министерства природных ресурсов и экологии Камчатского края, член комиссии.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both"/>
              <w:rPr>
                <w:sz w:val="16"/>
              </w:rPr>
            </w:pPr>
            <w:r>
              <w:rPr>
                <w:sz w:val="16"/>
              </w:rPr>
            </w:r>
          </w:p>
        </w:tc>
      </w:tr>
    </w:tbl>
    <w:p>
      <w:pPr>
        <w:pStyle w:val="Normal"/>
        <w:ind w:hanging="0" w:left="0" w:right="0"/>
        <w:jc w:val="both"/>
        <w:rPr>
          <w:sz w:val="16"/>
        </w:rPr>
      </w:pPr>
      <w:r>
        <w:rPr>
          <w:sz w:val="16"/>
        </w:rPr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Open San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>
    <w:name w:val="Заголовок таблицы"/>
    <w:basedOn w:val="Style10"/>
    <w:link w:val="13"/>
    <w:qFormat/>
    <w:rPr>
      <w:b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0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0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extbody">
    <w:name w:val="Text body"/>
    <w:qFormat/>
    <w:rPr/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List1">
    <w:name w:val="List1"/>
    <w:basedOn w:val="Textbody1"/>
    <w:qFormat/>
    <w:rPr/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Style10">
    <w:name w:val="Содержимое таблицы"/>
    <w:link w:val="12"/>
    <w:qFormat/>
    <w:rPr/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Style11">
    <w:name w:val="Заголовок"/>
    <w:link w:val="1111111"/>
    <w:qFormat/>
    <w:rPr>
      <w:rFonts w:ascii="Open Sans" w:hAnsi="Open Sans"/>
      <w:sz w:val="28"/>
    </w:rPr>
  </w:style>
  <w:style w:type="character" w:styleId="Textbody1">
    <w:name w:val="Text body1"/>
    <w:link w:val="Textbody2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Caption1">
    <w:name w:val="Caption1"/>
    <w:qFormat/>
    <w:rPr>
      <w:i/>
      <w:sz w:val="24"/>
    </w:rPr>
  </w:style>
  <w:style w:type="character" w:styleId="Style12">
    <w:name w:val="Колонтитул"/>
    <w:link w:val="14"/>
    <w:qFormat/>
    <w:rPr>
      <w:rFonts w:ascii="XO Thames" w:hAnsi="XO Thames"/>
      <w:color w:val="000000"/>
      <w:spacing w:val="0"/>
      <w:sz w:val="20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13">
    <w:name w:val="Указатель"/>
    <w:link w:val="1111112"/>
    <w:qFormat/>
    <w:rPr/>
  </w:style>
  <w:style w:type="character" w:styleId="Contents51">
    <w:name w:val="Contents 51"/>
    <w:link w:val="Contents52"/>
    <w:qFormat/>
    <w:rPr>
      <w:rFonts w:ascii="XO Thames" w:hAnsi="XO Thames"/>
      <w:sz w:val="28"/>
    </w:rPr>
  </w:style>
  <w:style w:type="character" w:styleId="Contents11">
    <w:name w:val="Contents 11"/>
    <w:link w:val="Contents12"/>
    <w:qFormat/>
    <w:rPr>
      <w:rFonts w:ascii="XO Thames" w:hAnsi="XO Thames"/>
      <w:b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2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ohit Devanagari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ohit Devanagari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ohit Devanagari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ohit Devanagari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Lohit Devanagari"/>
    </w:rPr>
  </w:style>
  <w:style w:type="paragraph" w:styleId="1111111">
    <w:name w:val="Заголовок111111"/>
    <w:basedOn w:val="Normal"/>
    <w:next w:val="BodyText"/>
    <w:link w:val="Style11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1111112">
    <w:name w:val="Указатель111111"/>
    <w:basedOn w:val="Normal"/>
    <w:link w:val="Style13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Содержимое таблицы1"/>
    <w:basedOn w:val="Normal"/>
    <w:link w:val="Style10"/>
    <w:qFormat/>
    <w:pPr>
      <w:widowControl w:val="false"/>
    </w:pPr>
    <w:rPr/>
  </w:style>
  <w:style w:type="paragraph" w:styleId="13">
    <w:name w:val="Заголовок таблицы1"/>
    <w:basedOn w:val="12"/>
    <w:link w:val="Style9"/>
    <w:qFormat/>
    <w:pPr>
      <w:jc w:val="center"/>
    </w:pPr>
    <w:rPr>
      <w:b/>
    </w:rPr>
  </w:style>
  <w:style w:type="paragraph" w:styleId="ConsPlusTitle1">
    <w:name w:val="ConsPlusTitle1"/>
    <w:link w:val="ConsPlusTitle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Normal1">
    <w:name w:val="ConsPlusNormal1"/>
    <w:link w:val="ConsPlusNormal"/>
    <w:qFormat/>
    <w:pPr>
      <w:widowControl w:val="false"/>
      <w:suppressAutoHyphens w:val="true"/>
      <w:bidi w:val="0"/>
      <w:spacing w:lineRule="auto" w:line="240" w:before="0" w:after="0"/>
      <w:ind w:firstLine="720" w:left="0" w:right="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1"/>
    <w:basedOn w:val="Normal"/>
    <w:link w:val="BalloonText"/>
    <w:qFormat/>
    <w:pPr/>
    <w:rPr>
      <w:rFonts w:ascii="Tahoma" w:hAnsi="Tahoma"/>
      <w:sz w:val="16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extbody2">
    <w:name w:val="Text body2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Колонтитул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">
    <w:name w:val="Содержимое таблицы2"/>
    <w:basedOn w:val="Normal"/>
    <w:qFormat/>
    <w:pPr>
      <w:widowControl w:val="false"/>
      <w:suppressLineNumbers/>
    </w:pPr>
    <w:rPr/>
  </w:style>
  <w:style w:type="paragraph" w:styleId="21">
    <w:name w:val="Заголовок таблицы2"/>
    <w:basedOn w:val="2"/>
    <w:qFormat/>
    <w:pPr>
      <w:suppressLineNumbers/>
      <w:jc w:val="center"/>
    </w:pPr>
    <w:rPr>
      <w:b/>
      <w:bCs/>
    </w:rPr>
  </w:style>
  <w:style w:type="table" w:default="1" w:styleId="Style_5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54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LibreOffice/7.6.7.2$Linux_X86_64 LibreOffice_project/60$Build-2</Application>
  <AppVersion>15.0000</AppVersion>
  <Pages>1</Pages>
  <Words>185</Words>
  <Characters>1463</Characters>
  <CharactersWithSpaces>1621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2024-11-05T15:29:27Z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