
<file path=[Content_Types].xml><?xml version="1.0" encoding="utf-8"?>
<Types xmlns="http://schemas.openxmlformats.org/package/2006/content-types"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5000000">
      <w:pPr>
        <w:spacing w:after="0" w:line="276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paragraph">
              <wp:posOffset>635</wp:posOffset>
            </wp:positionV>
            <wp:extent cx="647700" cy="807720"/>
            <wp:effectExtent b="0" l="0" r="0" t="0"/>
            <wp:wrapTight distL="114300" distR="114300" wrapText="bothSides">
              <wp:wrapPolygon>
                <wp:start x="-172" y="0"/>
                <wp:lineTo x="-172" y="20750"/>
                <wp:lineTo x="20796" y="20750"/>
                <wp:lineTo x="20796" y="0"/>
                <wp:lineTo x="-172" y="0"/>
              </wp:wrapPolygon>
            </wp:wrapTight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3"/>
                    <a:stretch/>
                  </pic:blipFill>
                  <pic:spPr>
                    <a:xfrm flipH="false" flipV="false" rot="0">
                      <a:ext cx="647700" cy="80772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06000000">
      <w:pPr>
        <w:spacing w:after="0" w:line="360" w:lineRule="auto"/>
        <w:ind/>
        <w:jc w:val="center"/>
        <w:rPr>
          <w:rFonts w:ascii="Times New Roman" w:hAnsi="Times New Roman"/>
          <w:sz w:val="32"/>
        </w:rPr>
      </w:pPr>
    </w:p>
    <w:p w14:paraId="07000000">
      <w:pPr>
        <w:spacing w:after="0" w:line="240" w:lineRule="auto"/>
        <w:ind/>
        <w:jc w:val="center"/>
        <w:rPr>
          <w:rFonts w:ascii="Times New Roman" w:hAnsi="Times New Roman"/>
          <w:b w:val="1"/>
          <w:sz w:val="32"/>
        </w:rPr>
      </w:pPr>
    </w:p>
    <w:p w14:paraId="08000000">
      <w:pPr>
        <w:spacing w:after="0" w:line="240" w:lineRule="auto"/>
        <w:ind/>
        <w:rPr>
          <w:rFonts w:ascii="Times New Roman" w:hAnsi="Times New Roman"/>
          <w:b w:val="1"/>
          <w:sz w:val="32"/>
        </w:rPr>
      </w:pPr>
    </w:p>
    <w:p w14:paraId="09000000">
      <w:pPr>
        <w:spacing w:after="0" w:line="240" w:lineRule="auto"/>
        <w:ind/>
        <w:jc w:val="center"/>
        <w:rPr>
          <w:rFonts w:ascii="Times New Roman" w:hAnsi="Times New Roman"/>
          <w:b w:val="1"/>
          <w:sz w:val="32"/>
        </w:rPr>
      </w:pPr>
      <w:r>
        <w:rPr>
          <w:rFonts w:ascii="Times New Roman" w:hAnsi="Times New Roman"/>
          <w:b w:val="1"/>
          <w:sz w:val="32"/>
        </w:rPr>
        <w:t>П О С Т А Н О В Л Е Н И Е</w:t>
      </w:r>
    </w:p>
    <w:p w14:paraId="0A000000">
      <w:pPr>
        <w:spacing w:after="0" w:line="240" w:lineRule="auto"/>
        <w:ind/>
        <w:jc w:val="center"/>
        <w:rPr>
          <w:rFonts w:ascii="Times New Roman" w:hAnsi="Times New Roman"/>
          <w:b w:val="1"/>
          <w:sz w:val="28"/>
        </w:rPr>
      </w:pPr>
    </w:p>
    <w:p w14:paraId="0B000000">
      <w:pPr>
        <w:spacing w:after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ПРАВИТЕЛЬСТВА</w:t>
      </w:r>
    </w:p>
    <w:p w14:paraId="0C000000">
      <w:pPr>
        <w:spacing w:after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КАМЧАТСКОГО КРАЯ</w:t>
      </w:r>
    </w:p>
    <w:p w14:paraId="0D000000">
      <w:pPr>
        <w:spacing w:after="0" w:line="276" w:lineRule="auto"/>
        <w:ind w:firstLine="709" w:left="0"/>
        <w:jc w:val="center"/>
        <w:rPr>
          <w:rFonts w:ascii="Times New Roman" w:hAnsi="Times New Roman"/>
          <w:sz w:val="28"/>
        </w:rPr>
      </w:pPr>
    </w:p>
    <w:p w14:paraId="0E000000">
      <w:pPr>
        <w:spacing w:after="0" w:line="240" w:lineRule="auto"/>
        <w:ind w:firstLine="709" w:left="0"/>
        <w:jc w:val="center"/>
        <w:rPr>
          <w:rFonts w:ascii="Times New Roman" w:hAnsi="Times New Roman"/>
          <w:sz w:val="20"/>
        </w:rPr>
      </w:pPr>
    </w:p>
    <w:tbl>
      <w:tblPr>
        <w:tblStyle w:val="Style_3"/>
        <w:tblLayout w:type="fixed"/>
        <w:tblCellMar>
          <w:left w:type="dxa" w:w="0"/>
          <w:right w:type="dxa" w:w="0"/>
        </w:tblCellMar>
      </w:tblPr>
      <w:tblGrid>
        <w:gridCol w:w="4253"/>
      </w:tblGrid>
      <w:tr>
        <w:trPr>
          <w:trHeight w:hRule="atLeast" w:val="42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F000000">
            <w:pPr>
              <w:widowControl w:val="0"/>
              <w:spacing w:after="0" w:line="240" w:lineRule="auto"/>
              <w:ind w:hanging="142" w:left="142"/>
              <w:rPr>
                <w:rFonts w:ascii="Times New Roman" w:hAnsi="Times New Roman"/>
                <w:sz w:val="24"/>
              </w:rPr>
            </w:pPr>
            <w:bookmarkStart w:id="1" w:name="REGNUMDATESTAMP"/>
            <w:r>
              <w:rPr>
                <w:rFonts w:ascii="Times New Roman" w:hAnsi="Times New Roman"/>
                <w:color w:val="FFFFFF"/>
                <w:sz w:val="24"/>
              </w:rPr>
              <w:t>[Дата регистрации] № [Номер</w:t>
            </w:r>
            <w:r>
              <w:rPr>
                <w:rFonts w:ascii="Times New Roman" w:hAnsi="Times New Roman"/>
                <w:color w:val="FFFFFF"/>
                <w:sz w:val="20"/>
              </w:rPr>
              <w:t xml:space="preserve"> документа</w:t>
            </w:r>
            <w:r>
              <w:rPr>
                <w:rFonts w:ascii="Times New Roman" w:hAnsi="Times New Roman"/>
                <w:color w:val="FFFFFF"/>
                <w:sz w:val="24"/>
              </w:rPr>
              <w:t>]</w:t>
            </w:r>
            <w:bookmarkEnd w:id="1"/>
          </w:p>
        </w:tc>
      </w:tr>
      <w:tr>
        <w:trPr>
          <w:trHeight w:hRule="atLeast" w:val="24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10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</w:rPr>
              <w:t>г. Петропавловск-Камчатский</w:t>
            </w:r>
          </w:p>
        </w:tc>
      </w:tr>
      <w:tr>
        <w:trPr>
          <w:trHeight w:hRule="atLeast" w:val="80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11000000">
            <w:pPr>
              <w:widowControl w:val="0"/>
              <w:spacing w:after="0" w:line="240" w:lineRule="auto"/>
              <w:ind/>
              <w:jc w:val="both"/>
              <w:rPr>
                <w:rFonts w:ascii="Times New Roman" w:hAnsi="Times New Roman"/>
                <w:sz w:val="20"/>
              </w:rPr>
            </w:pPr>
          </w:p>
        </w:tc>
      </w:tr>
    </w:tbl>
    <w:p w14:paraId="12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</w:p>
    <w:tbl>
      <w:tblPr>
        <w:tblStyle w:val="Style_4"/>
        <w:tblInd w:type="dxa" w:w="-142"/>
        <w:tblLayout w:type="fixed"/>
      </w:tblPr>
      <w:tblGrid>
        <w:gridCol w:w="9755"/>
      </w:tblGrid>
      <w:tr>
        <w:tc>
          <w:tcPr>
            <w:tcW w:type="dxa" w:w="975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00000">
            <w:pPr>
              <w:widowControl w:val="0"/>
              <w:spacing w:after="0" w:line="240" w:lineRule="auto"/>
              <w:ind w:hanging="30" w:left="3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sz w:val="28"/>
              </w:rPr>
              <w:t>О памятнике природы регионального значения</w:t>
            </w:r>
          </w:p>
          <w:p w14:paraId="14000000">
            <w:pPr>
              <w:widowControl w:val="0"/>
              <w:spacing w:after="0" w:line="240" w:lineRule="auto"/>
              <w:ind w:hanging="30" w:left="3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sz w:val="28"/>
              </w:rPr>
              <w:t>«Камчатская жемчужница на реке Белоголовая»</w:t>
            </w:r>
          </w:p>
        </w:tc>
      </w:tr>
    </w:tbl>
    <w:p w14:paraId="15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</w:p>
    <w:p w14:paraId="16000000">
      <w:pPr>
        <w:spacing w:after="0" w:line="216" w:lineRule="auto"/>
        <w:ind w:firstLine="720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соответствии со статьей 17 Федерального конституционного закона от 12.07.2006 № 2-ФКЗ «Об образовании в составе Российской Федерации нового субъекта Российской Федерации в результате объединения Камчатской области и Корякского автономного округа», статьями 2, 26, 27 Федерального закона от 14.03.1995 № 33-ФЗ «Об особо охраняемых природных территориях», статьями 6–8 Закона Камчатского края от 29.12.2014 № 564 «Об особо охраняемых природных территориях в Камчатском крае», учитывая решение Исполнительного комитета Камчатского областного Совета народных депутатов от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области»,</w:t>
      </w:r>
    </w:p>
    <w:p w14:paraId="17000000">
      <w:pPr>
        <w:spacing w:after="0" w:line="216" w:lineRule="auto"/>
        <w:ind w:firstLine="720" w:left="0"/>
        <w:jc w:val="both"/>
        <w:rPr>
          <w:rFonts w:ascii="Times New Roman" w:hAnsi="Times New Roman"/>
          <w:sz w:val="28"/>
        </w:rPr>
      </w:pPr>
    </w:p>
    <w:p w14:paraId="18000000">
      <w:pPr>
        <w:spacing w:after="0" w:line="216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ПРАВИТЕЛЬСТВО ПОСТАНОВЛЯЕТ:</w:t>
      </w:r>
    </w:p>
    <w:p w14:paraId="19000000">
      <w:pPr>
        <w:spacing w:after="0" w:line="216" w:lineRule="auto"/>
        <w:ind w:firstLine="709" w:left="0"/>
        <w:jc w:val="both"/>
        <w:rPr>
          <w:rFonts w:ascii="Times New Roman" w:hAnsi="Times New Roman"/>
          <w:sz w:val="28"/>
        </w:rPr>
      </w:pPr>
    </w:p>
    <w:p w14:paraId="1A000000">
      <w:pPr>
        <w:spacing w:after="0" w:line="216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Утвердить:</w:t>
      </w:r>
    </w:p>
    <w:p w14:paraId="1B000000">
      <w:pPr>
        <w:spacing w:after="0" w:line="216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Положение о памятнике природы регионального значения «Камчатская жемчужница на реке Белоголовая» согласно приложению 1 к настоящему постановлению;</w:t>
      </w:r>
    </w:p>
    <w:p w14:paraId="1C000000">
      <w:pPr>
        <w:spacing w:after="0" w:line="216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графическое описание местоположения границ памятника природы регионального значения «Камчатская жемчужница на реке Белоголовая» согласно приложению 2 к настоящему постановлению.</w:t>
      </w:r>
    </w:p>
    <w:p w14:paraId="1D000000">
      <w:pPr>
        <w:spacing w:after="0" w:line="216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Настоящее постановление вступает в силу после дня его официального опубликования.</w:t>
      </w:r>
    </w:p>
    <w:tbl>
      <w:tblPr>
        <w:tblStyle w:val="Style_3"/>
        <w:tblInd w:type="dxa" w:w="-34"/>
        <w:tblLayout w:type="fixed"/>
        <w:tblCellMar>
          <w:left w:type="dxa" w:w="0"/>
          <w:right w:type="dxa" w:w="0"/>
        </w:tblCellMar>
      </w:tblPr>
      <w:tblGrid>
        <w:gridCol w:w="3578"/>
        <w:gridCol w:w="3544"/>
        <w:gridCol w:w="2410"/>
      </w:tblGrid>
      <w:tr>
        <w:trPr>
          <w:trHeight w:hRule="atLeast" w:val="2220"/>
        </w:trPr>
        <w:tc>
          <w:tcPr>
            <w:tcW w:type="dxa" w:w="3578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E000000">
            <w:pPr>
              <w:widowControl w:val="0"/>
              <w:spacing w:after="0" w:line="240" w:lineRule="auto"/>
              <w:ind w:firstLine="0" w:left="30" w:right="2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8"/>
              </w:rPr>
              <w:t>Председатель Правительства Камчатского края</w:t>
            </w:r>
          </w:p>
          <w:p w14:paraId="1F000000">
            <w:pPr>
              <w:widowControl w:val="0"/>
              <w:spacing w:after="0" w:line="240" w:lineRule="auto"/>
              <w:ind w:firstLine="0" w:left="30" w:right="27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544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0000000">
            <w:pPr>
              <w:widowControl w:val="0"/>
              <w:ind/>
              <w:rPr>
                <w:rFonts w:ascii="Calibri" w:hAnsi="Calibri"/>
              </w:rPr>
            </w:pPr>
          </w:p>
        </w:tc>
        <w:tc>
          <w:tcPr>
            <w:tcW w:type="dxa" w:w="2410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1000000">
            <w:pPr>
              <w:widowControl w:val="0"/>
              <w:spacing w:after="0" w:line="240" w:lineRule="auto"/>
              <w:ind w:right="135"/>
              <w:jc w:val="right"/>
              <w:rPr>
                <w:rFonts w:ascii="Times New Roman" w:hAnsi="Times New Roman"/>
                <w:sz w:val="28"/>
              </w:rPr>
            </w:pPr>
          </w:p>
          <w:p w14:paraId="22000000">
            <w:pPr>
              <w:widowControl w:val="0"/>
              <w:spacing w:after="0" w:line="240" w:lineRule="auto"/>
              <w:ind/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8"/>
              </w:rPr>
              <w:t>Е.А. Чекин</w:t>
            </w:r>
          </w:p>
        </w:tc>
      </w:tr>
    </w:tbl>
    <w:tbl>
      <w:tblPr>
        <w:tblStyle w:val="Style_4"/>
        <w:tblLayout w:type="fixed"/>
      </w:tblPr>
      <w:tblGrid>
        <w:gridCol w:w="476"/>
        <w:gridCol w:w="477"/>
        <w:gridCol w:w="485"/>
        <w:gridCol w:w="3668"/>
        <w:gridCol w:w="480"/>
        <w:gridCol w:w="1878"/>
        <w:gridCol w:w="485"/>
        <w:gridCol w:w="1687"/>
      </w:tblGrid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0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00000">
            <w:pPr>
              <w:widowControl w:val="0"/>
              <w:spacing w:after="0" w:line="240" w:lineRule="auto"/>
              <w:ind w:hanging="8079" w:left="8079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Приложение 1 к постановлению</w:t>
            </w:r>
          </w:p>
        </w:tc>
      </w:tr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0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00000">
            <w:pPr>
              <w:widowControl w:val="0"/>
              <w:spacing w:after="0" w:line="240" w:lineRule="auto"/>
              <w:ind w:hanging="8079" w:left="8079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Правительства Камчатского края</w:t>
            </w:r>
          </w:p>
        </w:tc>
      </w:tr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от</w:t>
            </w:r>
          </w:p>
        </w:tc>
        <w:tc>
          <w:tcPr>
            <w:tcW w:type="dxa" w:w="18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z w:val="28"/>
              </w:rPr>
              <w:t>[R</w:t>
            </w:r>
            <w:r>
              <w:rPr>
                <w:rFonts w:ascii="Times New Roman" w:hAnsi="Times New Roman"/>
                <w:color w:themeColor="background1" w:val="FFFFFF"/>
                <w:sz w:val="16"/>
              </w:rPr>
              <w:t>EGDATESTAMP]</w:t>
            </w:r>
          </w:p>
        </w:tc>
        <w:tc>
          <w:tcPr>
            <w:tcW w:type="dxa" w:w="48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№</w:t>
            </w:r>
          </w:p>
        </w:tc>
        <w:tc>
          <w:tcPr>
            <w:tcW w:type="dxa" w:w="168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z w:val="28"/>
              </w:rPr>
              <w:t>[R</w:t>
            </w:r>
            <w:r>
              <w:rPr>
                <w:rFonts w:ascii="Times New Roman" w:hAnsi="Times New Roman"/>
                <w:color w:themeColor="background1" w:val="FFFFFF"/>
                <w:sz w:val="16"/>
              </w:rPr>
              <w:t>EGNUMSTAMP]</w:t>
            </w:r>
          </w:p>
        </w:tc>
      </w:tr>
    </w:tbl>
    <w:p w14:paraId="35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</w:p>
    <w:p w14:paraId="36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Положение</w:t>
      </w:r>
    </w:p>
    <w:p w14:paraId="37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 памятнике природы регионального значения </w:t>
      </w:r>
    </w:p>
    <w:p w14:paraId="38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«Камчатская жемчужница на реке Белоголовая» </w:t>
      </w:r>
    </w:p>
    <w:p w14:paraId="39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</w:p>
    <w:p w14:paraId="3A000000">
      <w:pPr>
        <w:tabs>
          <w:tab w:leader="none" w:pos="3686" w:val="left"/>
        </w:tabs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Общие положения</w:t>
      </w:r>
    </w:p>
    <w:p w14:paraId="3B000000">
      <w:pPr>
        <w:tabs>
          <w:tab w:leader="none" w:pos="567" w:val="left"/>
          <w:tab w:leader="none" w:pos="993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</w:p>
    <w:p w14:paraId="3C000000">
      <w:pPr>
        <w:tabs>
          <w:tab w:leader="none" w:pos="567" w:val="left"/>
          <w:tab w:leader="none" w:pos="993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Настоящее положение регулирует вопросы охраны и использования памятника природы регионального значения «Камчатская жемчужница на реке Белоголовая» (далее – Памятник природы).</w:t>
      </w:r>
    </w:p>
    <w:p w14:paraId="3D000000">
      <w:pPr>
        <w:tabs>
          <w:tab w:leader="none" w:pos="567" w:val="left"/>
          <w:tab w:leader="none" w:pos="1134" w:val="left"/>
          <w:tab w:leader="none" w:pos="1418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Памятник природы является особо охраняемой природной территорией регионального значения в Камчатском крае и относится к объектам общенационального достояния.</w:t>
      </w:r>
    </w:p>
    <w:p w14:paraId="3E000000">
      <w:pPr>
        <w:tabs>
          <w:tab w:leader="none" w:pos="567" w:val="left"/>
          <w:tab w:leader="none" w:pos="851" w:val="left"/>
          <w:tab w:leader="none" w:pos="993" w:val="left"/>
          <w:tab w:leader="none" w:pos="1418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Целями создания Памятника природы являются:</w:t>
      </w:r>
    </w:p>
    <w:p w14:paraId="3F000000">
      <w:pPr>
        <w:tabs>
          <w:tab w:leader="none" w:pos="567" w:val="left"/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</w:rPr>
        <w:t xml:space="preserve">1) сохранение в естественном состоянии уникального, невосполнимого, ценного в экологическом, научном, эстетическом, рекреационном и природоохранном отношениях природного комплекса, представленного участком длиной 11,1 км среднего течения реки Белоголовая бассейна Охотского моря, берущей начало с западных </w:t>
      </w:r>
      <w:r>
        <w:rPr>
          <w:rFonts w:ascii="Times New Roman" w:hAnsi="Times New Roman"/>
          <w:sz w:val="28"/>
        </w:rPr>
        <w:t>макросклонов</w:t>
      </w:r>
      <w:r>
        <w:rPr>
          <w:rFonts w:ascii="Times New Roman" w:hAnsi="Times New Roman"/>
          <w:sz w:val="28"/>
        </w:rPr>
        <w:t xml:space="preserve"> Срединного хребта, ограниченного устьями ее левых притоков  </w:t>
      </w:r>
      <w:r>
        <w:rPr>
          <w:rFonts w:ascii="Times New Roman" w:hAnsi="Times New Roman"/>
          <w:i w:val="1"/>
          <w:sz w:val="28"/>
        </w:rPr>
        <w:t xml:space="preserve">– </w:t>
      </w:r>
      <w:r>
        <w:rPr>
          <w:rFonts w:ascii="Times New Roman" w:hAnsi="Times New Roman"/>
          <w:sz w:val="28"/>
        </w:rPr>
        <w:t xml:space="preserve">рек </w:t>
      </w:r>
      <w:r>
        <w:rPr>
          <w:rFonts w:ascii="Times New Roman" w:hAnsi="Times New Roman"/>
          <w:sz w:val="28"/>
        </w:rPr>
        <w:t>Камаквеем</w:t>
      </w:r>
      <w:r>
        <w:rPr>
          <w:rFonts w:ascii="Times New Roman" w:hAnsi="Times New Roman"/>
          <w:sz w:val="28"/>
        </w:rPr>
        <w:t xml:space="preserve"> и Алексеев, являющегося одним из самых северных мест обитания немногочисленной популяции жемчужницы </w:t>
      </w:r>
      <w:r>
        <w:rPr>
          <w:rFonts w:ascii="Times New Roman" w:hAnsi="Times New Roman"/>
          <w:sz w:val="28"/>
        </w:rPr>
        <w:t>Миддендорфа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i w:val="1"/>
          <w:sz w:val="28"/>
        </w:rPr>
        <w:t>Dahurinaia</w:t>
      </w:r>
      <w:r>
        <w:rPr>
          <w:rFonts w:ascii="Times New Roman" w:hAnsi="Times New Roman"/>
          <w:i w:val="1"/>
          <w:sz w:val="28"/>
        </w:rPr>
        <w:t xml:space="preserve"> </w:t>
      </w:r>
      <w:r>
        <w:rPr>
          <w:rFonts w:ascii="Times New Roman" w:hAnsi="Times New Roman"/>
          <w:i w:val="1"/>
          <w:sz w:val="28"/>
        </w:rPr>
        <w:t>middendorffi</w:t>
      </w:r>
      <w:r>
        <w:rPr>
          <w:rFonts w:ascii="Times New Roman" w:hAnsi="Times New Roman"/>
          <w:i w:val="1"/>
          <w:sz w:val="28"/>
        </w:rPr>
        <w:t xml:space="preserve"> – </w:t>
      </w:r>
      <w:r>
        <w:rPr>
          <w:rFonts w:ascii="Times New Roman" w:hAnsi="Times New Roman"/>
          <w:sz w:val="28"/>
        </w:rPr>
        <w:t>редкого и исчезающего вида пресноводных моллюсков, занесенного в Красную книгу Российской Федерации и Красную книгу Камчатского края;</w:t>
      </w:r>
    </w:p>
    <w:p w14:paraId="40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</w:rPr>
        <w:t>2) минимизация негативного антропогенного воздействия на естественные экологические системы участка реки Белоголовая, в том числе при осуществлении туризма;</w:t>
      </w:r>
    </w:p>
    <w:p w14:paraId="41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</w:rPr>
        <w:t>3) проведение научных исследований, разработка и внедрение научных методов сохранения редких видов беспозвоночных;</w:t>
      </w:r>
    </w:p>
    <w:p w14:paraId="42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</w:rPr>
        <w:t>4) государственный экологический мониторинг (государственный мониторинг окружающей среды);</w:t>
      </w:r>
    </w:p>
    <w:p w14:paraId="43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</w:rPr>
        <w:t>5) экологическое просвещение населения.</w:t>
      </w:r>
    </w:p>
    <w:p w14:paraId="44000000">
      <w:pPr>
        <w:tabs>
          <w:tab w:leader="none" w:pos="993" w:val="left"/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4. Памятник природы создан решением Исполнительного комитета </w:t>
      </w:r>
      <w:r>
        <w:rPr>
          <w:rFonts w:ascii="Times New Roman" w:hAnsi="Times New Roman"/>
          <w:sz w:val="28"/>
        </w:rPr>
        <w:t>Камчатского  областного</w:t>
      </w:r>
      <w:r>
        <w:rPr>
          <w:rFonts w:ascii="Times New Roman" w:hAnsi="Times New Roman"/>
          <w:sz w:val="28"/>
        </w:rPr>
        <w:t xml:space="preserve">  Совета  народных  депутатов  от 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области», без ограничения срока его функционирования.</w:t>
      </w:r>
    </w:p>
    <w:p w14:paraId="45000000">
      <w:pPr>
        <w:tabs>
          <w:tab w:leader="none" w:pos="993" w:val="left"/>
          <w:tab w:leader="none" w:pos="1276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5. Памятник природы создан на землях лесного фонда, без изъятия земельных участков для государственных нужд, а также у собственников, землепользователей, землевладельцев.</w:t>
      </w:r>
    </w:p>
    <w:p w14:paraId="46000000">
      <w:pPr>
        <w:tabs>
          <w:tab w:leader="none" w:pos="993" w:val="left"/>
          <w:tab w:leader="none" w:pos="1134" w:val="left"/>
          <w:tab w:leader="none" w:pos="1276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6. Общая площадь Памятника природы составляет 150,7 га. </w:t>
      </w:r>
    </w:p>
    <w:p w14:paraId="47000000">
      <w:pPr>
        <w:tabs>
          <w:tab w:leader="none" w:pos="1134" w:val="left"/>
          <w:tab w:leader="none" w:pos="1276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7. Природные ресурсы, расположенные в границах Памятника природы, ограничиваются в гражданском обороте в соответствии с требованиями действующего законодательства и настоящего Положения.</w:t>
      </w:r>
    </w:p>
    <w:p w14:paraId="48000000">
      <w:pPr>
        <w:tabs>
          <w:tab w:leader="none" w:pos="1134" w:val="left"/>
          <w:tab w:leader="none" w:pos="1276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8. Запрещается изменение целевого назначения земельных участков, находящихся в границах Памятника природы, за исключением случаев, предусмотренных федеральными законами.</w:t>
      </w:r>
    </w:p>
    <w:p w14:paraId="49000000">
      <w:pPr>
        <w:tabs>
          <w:tab w:leader="none" w:pos="1134" w:val="left"/>
          <w:tab w:leader="none" w:pos="1276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9. Леса, расположенные на территории Памятника природы, относятся к защитным лесам и используются в соответствии с режимом особой охраны Памятника природы и целевым назначением земель, определяемым лесным законодательством Российской Федерации, законодательством Российской Федерации об особо охраняемых природных территориях, настоящим Положением </w:t>
      </w:r>
      <w:r>
        <w:rPr>
          <w:rFonts w:ascii="Times New Roman" w:hAnsi="Times New Roman"/>
          <w:sz w:val="28"/>
        </w:rPr>
        <w:t>при условии, если это использование совместимо с целевым назначением защитных лесов и выполняемыми ими полезными функциями.</w:t>
      </w:r>
    </w:p>
    <w:p w14:paraId="4A000000">
      <w:pPr>
        <w:tabs>
          <w:tab w:leader="none" w:pos="709" w:val="left"/>
          <w:tab w:leader="none" w:pos="1134" w:val="left"/>
          <w:tab w:leader="none" w:pos="1276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10. Основным видом разрешенного использования земельных участков, расположенных в границах Памятника природы, является деятельность по особой охране и изучению природы (код 9.0).</w:t>
      </w:r>
    </w:p>
    <w:p w14:paraId="4B000000">
      <w:pPr>
        <w:tabs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11. Предельные минимальные и (или) максимальные размеры земельных участков и предельные параметры разрешенного строительства, реконструкции объектов капитального строительства не устанавливаются, так как строительство, реконструкция, капитальный ремонт объектов капитального строительства запрещены пунктом 2 части 20 Положения.</w:t>
      </w:r>
    </w:p>
    <w:p w14:paraId="4C000000">
      <w:pPr>
        <w:tabs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12. Границы и особенности режима особой охраны Памятника природы учитываются при территориальном планировании, градостроительном зонировании, при разработке правил землепользования и застройки, проведении землеустройства и лесоустройства, разработке лесного плана Камчатского края, лесохозяйственных регламентов и проектов освоения лесов, подготовке планов и перспектив экономического и социального развития, в том числе развития населенных пунктов, территориальных комплексных схем охраны природы, схем комплексного использования и охраны водных объектов, схем размещения, использования и охраны охотничьих угодий. </w:t>
      </w:r>
    </w:p>
    <w:p w14:paraId="4D000000">
      <w:pPr>
        <w:tabs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13. </w:t>
      </w:r>
      <w:r>
        <w:rPr>
          <w:rFonts w:ascii="Times New Roman" w:hAnsi="Times New Roman"/>
          <w:sz w:val="28"/>
        </w:rPr>
        <w:t xml:space="preserve">На территории Памятника природы экономическая и иная деятельность осуществляется с соблюдением требований настоящего Положения и Требований по предотвращению гибели объектов животного мира, за исключением объектов животного мира, находящихся на особо охраняемых природных территориях федерального значения, при осуществлении производственных процессов, а также при эксплуатации транспортных магистралей, трубопроводов, линий связи и электропередачи на территории Камчатского края, утвержденных постановлением Правительства Камчатского края от 15.07.2013 № 303-П. </w:t>
      </w:r>
    </w:p>
    <w:p w14:paraId="4E000000">
      <w:pPr>
        <w:tabs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14. Охрана Памятника природы и </w:t>
      </w:r>
      <w:r>
        <w:rPr>
          <w:rFonts w:ascii="Times New Roman" w:hAnsi="Times New Roman"/>
          <w:sz w:val="28"/>
        </w:rPr>
        <w:t>управление  им</w:t>
      </w:r>
      <w:r>
        <w:rPr>
          <w:rFonts w:ascii="Times New Roman" w:hAnsi="Times New Roman"/>
          <w:sz w:val="28"/>
        </w:rPr>
        <w:t xml:space="preserve">  осуществляется  краевым государственным казенным учреждением «Служба по охране животного мира и государственных природных заказников Камчатского края» (далее – Учреждение). </w:t>
      </w:r>
    </w:p>
    <w:p w14:paraId="4F000000">
      <w:pPr>
        <w:tabs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15. Посещение территории Памятника природы, в том числе в целях туризма, осуществляется по разрешениям, выдаваемым Учреждением.   </w:t>
      </w:r>
    </w:p>
    <w:p w14:paraId="50000000">
      <w:pPr>
        <w:tabs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16. К мероприятиям по обеспечению режима особой охраны Памятника природы могут привлекаться граждане, общественные объединения и некоммерческие организации, осуществляющие деятельность в области охраны окружающей среды. </w:t>
      </w:r>
    </w:p>
    <w:p w14:paraId="51000000">
      <w:pPr>
        <w:tabs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17. Собственники, владельцы и пользователи земельных участков, на которых находится Памятник природы, принимают на себя обязательства по обеспечению режима его особой охраны.</w:t>
      </w:r>
    </w:p>
    <w:p w14:paraId="52000000">
      <w:pPr>
        <w:tabs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</w:p>
    <w:p w14:paraId="53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Текстовое описание местоположения границ Памятника природы</w:t>
      </w:r>
    </w:p>
    <w:p w14:paraId="54000000">
      <w:pPr>
        <w:spacing w:after="0" w:line="240" w:lineRule="auto"/>
        <w:ind w:firstLine="709" w:left="0"/>
        <w:jc w:val="center"/>
        <w:rPr>
          <w:rFonts w:ascii="Times New Roman" w:hAnsi="Times New Roman"/>
          <w:sz w:val="28"/>
        </w:rPr>
      </w:pPr>
    </w:p>
    <w:p w14:paraId="55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18. Памятник природы расположен в </w:t>
      </w:r>
      <w:r>
        <w:rPr>
          <w:rFonts w:ascii="Times New Roman" w:hAnsi="Times New Roman"/>
          <w:sz w:val="28"/>
        </w:rPr>
        <w:t>Тигильском</w:t>
      </w:r>
      <w:r>
        <w:rPr>
          <w:rFonts w:ascii="Times New Roman" w:hAnsi="Times New Roman"/>
          <w:sz w:val="28"/>
        </w:rPr>
        <w:t xml:space="preserve"> муниципальном </w:t>
      </w:r>
      <w:r>
        <w:rPr>
          <w:rFonts w:ascii="Times New Roman" w:hAnsi="Times New Roman"/>
          <w:sz w:val="28"/>
        </w:rPr>
        <w:t>районе,  в</w:t>
      </w:r>
      <w:r>
        <w:rPr>
          <w:rFonts w:ascii="Times New Roman" w:hAnsi="Times New Roman"/>
          <w:sz w:val="28"/>
        </w:rPr>
        <w:t xml:space="preserve"> 23482,4 м от с. Усть-Хайрюзово. </w:t>
      </w:r>
    </w:p>
    <w:p w14:paraId="56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19. Памятник природы устанавливается в следующих границах:</w:t>
      </w:r>
    </w:p>
    <w:p w14:paraId="57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северная граница: от характерной точки 1 с географическими координатами 56 градусов 53 минуты 8.4 секунды северной широты и 156 градусов 35 минут 11.7 секунды восточной долготы, расположенной в 130 м на запад от крайней северной оконечности острова реки Белоголовая, в устье реки Алексеев, на ее левом берегу, проходит в восточном направлении, пересекая реку Белоголовая, на протяжении 236,2 м, через характерную точку 260 до характерной точки 259 с географическими координатами 56 градусов 53 минуты 9.2 секунды северной широты и 156 градусов 35 минут 25.6 секунды восточной долготы, расположенной на правом берегу реки Белоголовая, на линии уреза воды;</w:t>
      </w:r>
    </w:p>
    <w:p w14:paraId="58000000">
      <w:pPr>
        <w:spacing w:after="0" w:line="240" w:lineRule="auto"/>
        <w:ind w:firstLine="709" w:left="0"/>
        <w:jc w:val="both"/>
      </w:pPr>
      <w:r>
        <w:rPr>
          <w:rFonts w:ascii="Times New Roman" w:hAnsi="Times New Roman"/>
          <w:sz w:val="28"/>
        </w:rPr>
        <w:t xml:space="preserve">2) восточная граница: от характерной точки 259 в южном направлении по правому берегу реки Белоголовая, вверх по ее течению на протяжении 10935,9 м через характерные </w:t>
      </w:r>
      <w:r>
        <w:rPr>
          <w:rFonts w:ascii="Times New Roman" w:hAnsi="Times New Roman"/>
          <w:sz w:val="28"/>
        </w:rPr>
        <w:t>точки  258</w:t>
      </w:r>
      <w:r>
        <w:rPr>
          <w:rFonts w:ascii="Times New Roman" w:hAnsi="Times New Roman"/>
          <w:sz w:val="28"/>
        </w:rPr>
        <w:t xml:space="preserve">–135 до характерной точки 134 с географическими координатами 56 градусов 48 минут 40.2 секунды северной широты и 156 градусов 34 минуты 8.1 секунда восточной долготы, расположенной на правом берегу реки Белоголовая, в 65 м от устья ее левого притока – реки </w:t>
      </w:r>
      <w:r>
        <w:rPr>
          <w:rFonts w:ascii="Times New Roman" w:hAnsi="Times New Roman"/>
          <w:sz w:val="28"/>
        </w:rPr>
        <w:t>Камаквеем</w:t>
      </w:r>
      <w:r>
        <w:rPr>
          <w:rFonts w:ascii="Times New Roman" w:hAnsi="Times New Roman"/>
          <w:sz w:val="28"/>
        </w:rPr>
        <w:t>;</w:t>
      </w:r>
    </w:p>
    <w:p w14:paraId="59000000">
      <w:pPr>
        <w:spacing w:after="0" w:line="240" w:lineRule="auto"/>
        <w:ind w:firstLine="709" w:left="0"/>
        <w:jc w:val="both"/>
      </w:pPr>
      <w:r>
        <w:rPr>
          <w:rFonts w:ascii="Times New Roman" w:hAnsi="Times New Roman"/>
          <w:sz w:val="28"/>
        </w:rPr>
        <w:t xml:space="preserve">3) южная граница: от характерной точки 134 в юго-западном направлении на протяжении 77,6 м, пересекая русло реки Белоголовая, до характерной точки 133 с географическими координатами 56 градусов 48 минут 38.0 секунд северной широты и 156 градусов 34 минуты 5.9 секунды восточной долготы, расположенной в устье реки </w:t>
      </w:r>
      <w:r>
        <w:rPr>
          <w:rFonts w:ascii="Times New Roman" w:hAnsi="Times New Roman"/>
          <w:sz w:val="28"/>
        </w:rPr>
        <w:t>Камаквеем</w:t>
      </w:r>
      <w:r>
        <w:rPr>
          <w:rFonts w:ascii="Times New Roman" w:hAnsi="Times New Roman"/>
          <w:sz w:val="28"/>
        </w:rPr>
        <w:t>, на левом берегу реки Белоголовая;</w:t>
      </w:r>
    </w:p>
    <w:p w14:paraId="5A000000">
      <w:pPr>
        <w:spacing w:after="0" w:line="240" w:lineRule="auto"/>
        <w:ind w:firstLine="709" w:left="0"/>
        <w:jc w:val="both"/>
      </w:pPr>
      <w:r>
        <w:rPr>
          <w:rFonts w:ascii="Times New Roman" w:hAnsi="Times New Roman"/>
          <w:sz w:val="28"/>
        </w:rPr>
        <w:t xml:space="preserve">4) западная граница: от характерной точки 133 по левому берегу </w:t>
      </w:r>
      <w:r>
        <w:rPr>
          <w:rFonts w:ascii="Times New Roman" w:hAnsi="Times New Roman"/>
          <w:sz w:val="28"/>
        </w:rPr>
        <w:t>реки  Белоголовая</w:t>
      </w:r>
      <w:r>
        <w:rPr>
          <w:rFonts w:ascii="Times New Roman" w:hAnsi="Times New Roman"/>
          <w:sz w:val="28"/>
        </w:rPr>
        <w:t xml:space="preserve">, вниз по ее течению, по линии уреза воды на протяжении 11119,6 м, пересекая русло притоков </w:t>
      </w:r>
      <w:r>
        <w:rPr>
          <w:rFonts w:ascii="Times New Roman" w:hAnsi="Times New Roman"/>
          <w:sz w:val="28"/>
        </w:rPr>
        <w:t>Кенгувеем</w:t>
      </w:r>
      <w:r>
        <w:rPr>
          <w:rFonts w:ascii="Times New Roman" w:hAnsi="Times New Roman"/>
          <w:sz w:val="28"/>
        </w:rPr>
        <w:t>, Молодой, Алексеев, до характерной точки 1, где и замыкается.</w:t>
      </w:r>
    </w:p>
    <w:p w14:paraId="5B000000">
      <w:pPr>
        <w:spacing w:after="0" w:line="240" w:lineRule="auto"/>
        <w:ind w:firstLine="709" w:left="0"/>
        <w:jc w:val="center"/>
        <w:rPr>
          <w:rFonts w:ascii="Times New Roman" w:hAnsi="Times New Roman"/>
          <w:sz w:val="28"/>
        </w:rPr>
      </w:pPr>
    </w:p>
    <w:p w14:paraId="5C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Режим особой охраны и использования территории Памятника природы</w:t>
      </w:r>
    </w:p>
    <w:p w14:paraId="5D000000">
      <w:pPr>
        <w:spacing w:after="0" w:line="240" w:lineRule="auto"/>
        <w:ind w:firstLine="709" w:left="0"/>
        <w:jc w:val="center"/>
        <w:rPr>
          <w:rFonts w:ascii="Times New Roman" w:hAnsi="Times New Roman"/>
          <w:sz w:val="28"/>
        </w:rPr>
      </w:pPr>
    </w:p>
    <w:p w14:paraId="5E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20. На территории Памятника природы запрещается всякая деятельность, влекущая за собой нарушение его сохранности, в том числе:</w:t>
      </w:r>
    </w:p>
    <w:p w14:paraId="5F000000">
      <w:pPr>
        <w:tabs>
          <w:tab w:leader="none" w:pos="0" w:val="left"/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предоставление и использование земельных участков для целей, не связанных с целями создания Памятника природы;</w:t>
      </w:r>
    </w:p>
    <w:p w14:paraId="60000000">
      <w:pPr>
        <w:tabs>
          <w:tab w:leader="none" w:pos="0" w:val="left"/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2) строительство, реконструкция, капитальный ремонт объектов капитального строительства, в том числе в </w:t>
      </w:r>
      <w:r>
        <w:rPr>
          <w:rFonts w:ascii="Times New Roman" w:hAnsi="Times New Roman"/>
          <w:sz w:val="28"/>
        </w:rPr>
        <w:t>водоохранной</w:t>
      </w:r>
      <w:r>
        <w:rPr>
          <w:rFonts w:ascii="Times New Roman" w:hAnsi="Times New Roman"/>
          <w:sz w:val="28"/>
        </w:rPr>
        <w:t xml:space="preserve"> зоне реки Белоголовая;</w:t>
      </w:r>
    </w:p>
    <w:p w14:paraId="61000000">
      <w:pPr>
        <w:tabs>
          <w:tab w:leader="none" w:pos="0" w:val="left"/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деятельность, влекущая за собой нарушение, повреждение, уничтожение природного комплекса, в том числе нарушение исторически сложившегося ландшафта, почвенного и растительного покрова, мест обитаний (произрастаний) видов животных и растений, занесенных в Красную книгу Российской Федерации и Красную книгу Камчатского края;</w:t>
      </w:r>
    </w:p>
    <w:p w14:paraId="62000000">
      <w:pPr>
        <w:tabs>
          <w:tab w:leader="none" w:pos="0" w:val="left"/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пользование недрами, в том числе выполнение работ по геологическому изучению недр, разработка месторождений полезных ископаемых;</w:t>
      </w:r>
    </w:p>
    <w:p w14:paraId="63000000">
      <w:pPr>
        <w:tabs>
          <w:tab w:leader="none" w:pos="993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5) проведение взрывных работ; </w:t>
      </w:r>
    </w:p>
    <w:p w14:paraId="64000000">
      <w:pPr>
        <w:tabs>
          <w:tab w:leader="none" w:pos="993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6) проведение гидромелиоративных, ирригационных, дноуглубительных и других работ, связанных с изменением дна, берегов и </w:t>
      </w:r>
      <w:r>
        <w:rPr>
          <w:rFonts w:ascii="Times New Roman" w:hAnsi="Times New Roman"/>
          <w:sz w:val="28"/>
        </w:rPr>
        <w:t>водоохранной</w:t>
      </w:r>
      <w:r>
        <w:rPr>
          <w:rFonts w:ascii="Times New Roman" w:hAnsi="Times New Roman"/>
          <w:sz w:val="28"/>
        </w:rPr>
        <w:t xml:space="preserve"> зоны реки Белоголовая;</w:t>
      </w:r>
    </w:p>
    <w:p w14:paraId="65000000">
      <w:pPr>
        <w:spacing w:after="0" w:line="240" w:lineRule="auto"/>
        <w:ind w:firstLine="709" w:left="0"/>
        <w:jc w:val="both"/>
      </w:pPr>
      <w:r>
        <w:rPr>
          <w:sz w:val="28"/>
        </w:rPr>
        <w:t>7) все виды лесопользования, за исключением случаев, предусмотренных пунктами 4–8 части 21 Положения;</w:t>
      </w:r>
    </w:p>
    <w:p w14:paraId="66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sz w:val="28"/>
        </w:rPr>
        <w:t>8) ведение сельского хозяйства;</w:t>
      </w:r>
    </w:p>
    <w:p w14:paraId="67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9) размещение некапитальных строений и сооружений, причалов для маломерных судов, палаточных лагерей, </w:t>
      </w:r>
      <w:r>
        <w:rPr>
          <w:rFonts w:ascii="Times New Roman" w:hAnsi="Times New Roman"/>
          <w:sz w:val="28"/>
        </w:rPr>
        <w:t>костровищ</w:t>
      </w:r>
      <w:r>
        <w:rPr>
          <w:rFonts w:ascii="Times New Roman" w:hAnsi="Times New Roman"/>
          <w:sz w:val="28"/>
        </w:rPr>
        <w:t xml:space="preserve">, иных мест отдыха в </w:t>
      </w:r>
      <w:r>
        <w:rPr>
          <w:rFonts w:ascii="Times New Roman" w:hAnsi="Times New Roman"/>
          <w:sz w:val="28"/>
        </w:rPr>
        <w:t>водоохранной</w:t>
      </w:r>
      <w:r>
        <w:rPr>
          <w:rFonts w:ascii="Times New Roman" w:hAnsi="Times New Roman"/>
          <w:sz w:val="28"/>
        </w:rPr>
        <w:t xml:space="preserve"> зоне реки Белоголовая;</w:t>
      </w:r>
    </w:p>
    <w:p w14:paraId="68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10) все виды рыболовства, выделение рыболовных участков;</w:t>
      </w:r>
    </w:p>
    <w:p w14:paraId="69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11) все виды туризма;</w:t>
      </w:r>
    </w:p>
    <w:p w14:paraId="6A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12) </w:t>
      </w:r>
      <w:r>
        <w:rPr>
          <w:rFonts w:ascii="Times New Roman" w:hAnsi="Times New Roman"/>
          <w:sz w:val="28"/>
        </w:rPr>
        <w:t>рыбохозяйственная</w:t>
      </w:r>
      <w:r>
        <w:rPr>
          <w:rFonts w:ascii="Times New Roman" w:hAnsi="Times New Roman"/>
          <w:sz w:val="28"/>
        </w:rPr>
        <w:t xml:space="preserve"> мелиорация;</w:t>
      </w:r>
    </w:p>
    <w:p w14:paraId="6B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13) интродукция живых организмов, гибридизация объектов животного мира, искусственное воспроизводство водных биоресурсов, </w:t>
      </w:r>
      <w:r>
        <w:rPr>
          <w:rFonts w:ascii="Times New Roman" w:hAnsi="Times New Roman"/>
          <w:sz w:val="28"/>
        </w:rPr>
        <w:t>аквакультура</w:t>
      </w:r>
      <w:r>
        <w:rPr>
          <w:rFonts w:ascii="Times New Roman" w:hAnsi="Times New Roman"/>
          <w:sz w:val="28"/>
        </w:rPr>
        <w:t xml:space="preserve"> (рыбоводство);</w:t>
      </w:r>
    </w:p>
    <w:p w14:paraId="6C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14) движение механических транспортных средств вне дорог общего пользования, за исключением снегоходов в период установления постоянного снежного покрова, выполнения мероприятий по ликвидации и предупреждению чрезвычайных ситуаций;</w:t>
      </w:r>
    </w:p>
    <w:p w14:paraId="6D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15) деятельность, ведущая к нарушению правил пожарной безопасности в лесах, в том числе разведение огня, выжигание растительности, пускание палов;</w:t>
      </w:r>
    </w:p>
    <w:p w14:paraId="6E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16) накопление, размещение, захоронение, сжигание отходов производства и потребления;</w:t>
      </w:r>
    </w:p>
    <w:p w14:paraId="6F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17) порча и загрязнение земель, в том числе в результате складирования горюче-смазочных материалов, размещения радиоактивных, химических, взрывчатых, токсичных, отравляющих и ядовитых веществ;</w:t>
      </w:r>
    </w:p>
    <w:p w14:paraId="70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18) использование токсичных химических препаратов для охраны и защиты лесов;</w:t>
      </w:r>
    </w:p>
    <w:p w14:paraId="71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19) деятельность, ведущая к загрязнению акватории водных объектов и их </w:t>
      </w:r>
      <w:r>
        <w:rPr>
          <w:rFonts w:ascii="Times New Roman" w:hAnsi="Times New Roman"/>
          <w:sz w:val="28"/>
        </w:rPr>
        <w:t>водоохранных</w:t>
      </w:r>
      <w:r>
        <w:rPr>
          <w:rFonts w:ascii="Times New Roman" w:hAnsi="Times New Roman"/>
          <w:sz w:val="28"/>
        </w:rPr>
        <w:t xml:space="preserve"> зон, подземных вод отходами производства и потребления, любыми химическими и токсичными веществами, микроорганизмами;</w:t>
      </w:r>
    </w:p>
    <w:p w14:paraId="72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20) мойка транспортных средств в водных объектах;</w:t>
      </w:r>
    </w:p>
    <w:p w14:paraId="73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21) проезд через водные объекты, на механических транспортных средствах, за исключением случаев проезда на снегоходах в период установления на водных объектах постоянного ледового покрова;</w:t>
      </w:r>
    </w:p>
    <w:p w14:paraId="74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22) сбор минералогических, палеонтологических и других геологических коллекционных материалов и образцов горных пород, за исключением случаев, предусмотренных пунктом 1 части 21 Положения;</w:t>
      </w:r>
    </w:p>
    <w:p w14:paraId="75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23) мойка в водных объектах транспортных средств; </w:t>
      </w:r>
    </w:p>
    <w:p w14:paraId="76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24) уничтожение или повреждение аншлагов и других информационных знаков и указателей, нанесение на скалы, деревья, информационные знаки и указатели самовольных надписей.</w:t>
      </w:r>
    </w:p>
    <w:p w14:paraId="77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21. На территории Памятника природы разрешаются следующие виды деятельности:</w:t>
      </w:r>
    </w:p>
    <w:p w14:paraId="78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научно-исследовательская деятельность, направленная на изучение биологического и ландшафтного разнообразия, динамики и структуры природных комплексов и объектов, включая сбор зоологических, ботанических, минералогических и палеонтологических коллекций в порядке, установленном законодательством Российской Федерации;</w:t>
      </w:r>
    </w:p>
    <w:p w14:paraId="79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осуществление государственного экологического мониторинга (государственного мониторинга окружающей среды);</w:t>
      </w:r>
    </w:p>
    <w:p w14:paraId="7A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выполнение природоохранных и биотехнических мероприятий, в том числе мероприятий по сохранению, восстановлению и поддержанию в равновесном состоянии природных экосистем, сохранению и восстановлению ключевых мест обитаний (произрастания) объектов животного и растительного мира, нуждающихся в особых мерах охраны;</w:t>
      </w:r>
    </w:p>
    <w:p w14:paraId="7B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</w:t>
      </w:r>
      <w:r>
        <w:rPr>
          <w:rFonts w:ascii="Times New Roman" w:hAnsi="Times New Roman"/>
          <w:sz w:val="28"/>
        </w:rPr>
        <w:tab/>
      </w:r>
      <w:r>
        <w:rPr>
          <w:rFonts w:ascii="Times New Roman" w:hAnsi="Times New Roman"/>
          <w:sz w:val="28"/>
        </w:rPr>
        <w:t xml:space="preserve">выполнение мероприятий, направленных на воспроизводство защитных лесов, повышение продуктивности защитных лесов, сохранение их полезных функций: мероприятия по </w:t>
      </w:r>
      <w:r>
        <w:rPr>
          <w:rFonts w:ascii="Times New Roman" w:hAnsi="Times New Roman"/>
          <w:sz w:val="28"/>
        </w:rPr>
        <w:t>лесовосстановлению</w:t>
      </w:r>
      <w:r>
        <w:rPr>
          <w:rFonts w:ascii="Times New Roman" w:hAnsi="Times New Roman"/>
          <w:sz w:val="28"/>
        </w:rPr>
        <w:t xml:space="preserve">, уходу за лесами (в том числе рубки ухода за лесными насаждениями), иные мероприятия, проводимые в соответствии с правилами </w:t>
      </w:r>
      <w:r>
        <w:rPr>
          <w:rFonts w:ascii="Times New Roman" w:hAnsi="Times New Roman"/>
          <w:sz w:val="28"/>
        </w:rPr>
        <w:t>лесовосстановления</w:t>
      </w:r>
      <w:r>
        <w:rPr>
          <w:rFonts w:ascii="Times New Roman" w:hAnsi="Times New Roman"/>
          <w:sz w:val="28"/>
        </w:rPr>
        <w:t xml:space="preserve"> и правилами ухода за лесами, расположенными на особо охраняемых природных территориях;</w:t>
      </w:r>
    </w:p>
    <w:p w14:paraId="7C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</w:t>
      </w:r>
      <w:r>
        <w:rPr>
          <w:rFonts w:ascii="Times New Roman" w:hAnsi="Times New Roman"/>
          <w:sz w:val="28"/>
        </w:rPr>
        <w:tab/>
      </w:r>
      <w:r>
        <w:rPr>
          <w:rFonts w:ascii="Times New Roman" w:hAnsi="Times New Roman"/>
          <w:sz w:val="28"/>
        </w:rPr>
        <w:t xml:space="preserve">выполнение мероприятий по охране лесов от загрязнения и иного негативного воздействия, включая меры по сохранению лесных насаждений, лесных почв, среды обитания объектов животного мира, других природных объектов в лесах; </w:t>
      </w:r>
    </w:p>
    <w:p w14:paraId="7D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6)</w:t>
      </w:r>
      <w:r>
        <w:rPr>
          <w:rFonts w:ascii="Times New Roman" w:hAnsi="Times New Roman"/>
          <w:sz w:val="28"/>
        </w:rPr>
        <w:tab/>
      </w:r>
      <w:r>
        <w:rPr>
          <w:rFonts w:ascii="Times New Roman" w:hAnsi="Times New Roman"/>
          <w:sz w:val="28"/>
        </w:rPr>
        <w:t>деятельность по охране лесов от пожаров;</w:t>
      </w:r>
    </w:p>
    <w:p w14:paraId="7E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7) выполнение мероприятий по рекультивации нарушенных земель и восстановлению почвенного покрова (ликвидация накопленного экологического вреда окружающей среде), в том числе посредством </w:t>
      </w:r>
      <w:r>
        <w:rPr>
          <w:rFonts w:ascii="Times New Roman" w:hAnsi="Times New Roman"/>
          <w:sz w:val="28"/>
        </w:rPr>
        <w:t>лесовосстановления</w:t>
      </w:r>
      <w:r>
        <w:rPr>
          <w:rFonts w:ascii="Times New Roman" w:hAnsi="Times New Roman"/>
          <w:sz w:val="28"/>
        </w:rPr>
        <w:t>;</w:t>
      </w:r>
    </w:p>
    <w:p w14:paraId="7F000000">
      <w:pPr>
        <w:tabs>
          <w:tab w:leader="none" w:pos="1134" w:val="left"/>
        </w:tabs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8) ведение охотничьего хозяйства, включая выполнение мероприятий по сохранению охотничьих ресурсов и среды их обитания в границах закрепленных охотничьих угодий;</w:t>
      </w:r>
    </w:p>
    <w:p w14:paraId="80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9) эколого-просветительская деятельность.</w:t>
      </w:r>
    </w:p>
    <w:p w14:paraId="81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</w:p>
    <w:p w14:paraId="82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</w:p>
    <w:p w14:paraId="83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</w:p>
    <w:p w14:paraId="84000000">
      <w:pPr>
        <w:spacing w:after="0" w:line="240" w:lineRule="auto"/>
        <w:ind w:firstLine="709" w:left="0"/>
        <w:jc w:val="both"/>
        <w:rPr>
          <w:rFonts w:ascii="Times New Roman" w:hAnsi="Times New Roman"/>
          <w:sz w:val="28"/>
        </w:rPr>
      </w:pPr>
    </w:p>
    <w:tbl>
      <w:tblPr>
        <w:tblStyle w:val="Style_4"/>
        <w:tblLayout w:type="fixed"/>
      </w:tblPr>
      <w:tblGrid>
        <w:gridCol w:w="476"/>
        <w:gridCol w:w="477"/>
        <w:gridCol w:w="485"/>
        <w:gridCol w:w="3668"/>
        <w:gridCol w:w="480"/>
        <w:gridCol w:w="1878"/>
        <w:gridCol w:w="485"/>
        <w:gridCol w:w="1687"/>
      </w:tblGrid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0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00000">
            <w:pPr>
              <w:widowControl w:val="0"/>
              <w:spacing w:after="0" w:line="240" w:lineRule="auto"/>
              <w:ind w:hanging="8079" w:left="8079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Приложение 2 к постановлению</w:t>
            </w:r>
          </w:p>
        </w:tc>
      </w:tr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00000">
            <w:pPr>
              <w:widowControl w:val="0"/>
              <w:spacing w:after="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0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00000">
            <w:pPr>
              <w:widowControl w:val="0"/>
              <w:spacing w:after="0" w:line="240" w:lineRule="auto"/>
              <w:ind w:hanging="8079" w:left="8079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Правительства Камчатского края</w:t>
            </w:r>
          </w:p>
        </w:tc>
      </w:tr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от</w:t>
            </w:r>
          </w:p>
        </w:tc>
        <w:tc>
          <w:tcPr>
            <w:tcW w:type="dxa" w:w="187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z w:val="28"/>
              </w:rPr>
              <w:t>[R</w:t>
            </w:r>
            <w:r>
              <w:rPr>
                <w:rFonts w:ascii="Times New Roman" w:hAnsi="Times New Roman"/>
                <w:color w:themeColor="background1" w:val="FFFFFF"/>
                <w:sz w:val="16"/>
              </w:rPr>
              <w:t>EGDATESTAMP]</w:t>
            </w:r>
          </w:p>
        </w:tc>
        <w:tc>
          <w:tcPr>
            <w:tcW w:type="dxa" w:w="48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№</w:t>
            </w:r>
          </w:p>
        </w:tc>
        <w:tc>
          <w:tcPr>
            <w:tcW w:type="dxa" w:w="1687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00000">
            <w:pPr>
              <w:widowControl w:val="0"/>
              <w:spacing w:after="60" w:line="240" w:lineRule="auto"/>
              <w:ind w:hanging="8079" w:left="8079"/>
              <w:jc w:val="right"/>
              <w:rPr>
                <w:rFonts w:ascii="Times New Roman" w:hAnsi="Times New Roman"/>
                <w:color w:val="FFFFFF"/>
                <w:sz w:val="28"/>
              </w:rPr>
            </w:pPr>
            <w:r>
              <w:rPr>
                <w:rFonts w:ascii="Times New Roman" w:hAnsi="Times New Roman"/>
                <w:color w:themeColor="background1" w:val="FFFFFF"/>
                <w:sz w:val="28"/>
              </w:rPr>
              <w:t>[R</w:t>
            </w:r>
            <w:r>
              <w:rPr>
                <w:rFonts w:ascii="Times New Roman" w:hAnsi="Times New Roman"/>
                <w:color w:themeColor="background1" w:val="FFFFFF"/>
                <w:sz w:val="16"/>
              </w:rPr>
              <w:t>EGNUMSTAMP]</w:t>
            </w:r>
          </w:p>
        </w:tc>
      </w:tr>
    </w:tbl>
    <w:p w14:paraId="97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</w:p>
    <w:p w14:paraId="98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Графическое описание </w:t>
      </w:r>
    </w:p>
    <w:p w14:paraId="99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местоположения границ памятника природы регионального значения </w:t>
      </w:r>
    </w:p>
    <w:p w14:paraId="9A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«Камчатская жемчужница на реке Белоголовая»</w:t>
      </w:r>
    </w:p>
    <w:p w14:paraId="9B000000">
      <w:pPr>
        <w:spacing w:after="0" w:line="240" w:lineRule="auto"/>
        <w:ind/>
        <w:jc w:val="center"/>
        <w:rPr>
          <w:rFonts w:ascii="Times New Roman" w:hAnsi="Times New Roman"/>
          <w:sz w:val="24"/>
        </w:rPr>
      </w:pPr>
    </w:p>
    <w:p w14:paraId="9C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1. Сведения о Памятнике природы </w:t>
      </w:r>
    </w:p>
    <w:p w14:paraId="9D000000">
      <w:pPr>
        <w:spacing w:after="0" w:line="240" w:lineRule="auto"/>
        <w:ind/>
        <w:jc w:val="center"/>
        <w:rPr>
          <w:rFonts w:ascii="Times New Roman" w:hAnsi="Times New Roman"/>
          <w:sz w:val="24"/>
        </w:rPr>
      </w:pPr>
    </w:p>
    <w:tbl>
      <w:tblPr>
        <w:tblStyle w:val="Style_3"/>
        <w:tblInd w:type="dxa" w:w="-147"/>
        <w:tblLayout w:type="fixed"/>
      </w:tblPr>
      <w:tblGrid>
        <w:gridCol w:w="562"/>
        <w:gridCol w:w="4146"/>
        <w:gridCol w:w="5066"/>
      </w:tblGrid>
      <w:tr>
        <w:trPr>
          <w:trHeight w:hRule="atLeast" w:val="411"/>
        </w:trPr>
        <w:tc>
          <w:tcPr>
            <w:tcW w:type="dxa" w:w="5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00000">
            <w:pPr>
              <w:widowControl w:val="0"/>
              <w:spacing w:after="0" w:line="24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№ п/п</w:t>
            </w:r>
          </w:p>
        </w:tc>
        <w:tc>
          <w:tcPr>
            <w:tcW w:type="dxa" w:w="41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9F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Характеристика Памятника природы</w:t>
            </w:r>
          </w:p>
        </w:tc>
        <w:tc>
          <w:tcPr>
            <w:tcW w:type="dxa" w:w="506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0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Описание характеристик</w:t>
            </w:r>
          </w:p>
        </w:tc>
      </w:tr>
      <w:tr>
        <w:trPr>
          <w:trHeight w:hRule="atLeast" w:val="255"/>
        </w:trPr>
        <w:tc>
          <w:tcPr>
            <w:tcW w:type="dxa" w:w="5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1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2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506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3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</w:tr>
      <w:tr>
        <w:trPr>
          <w:trHeight w:hRule="atLeast" w:val="543"/>
        </w:trPr>
        <w:tc>
          <w:tcPr>
            <w:tcW w:type="dxa" w:w="5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1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00000">
            <w:pPr>
              <w:widowControl w:val="0"/>
              <w:spacing w:after="0" w:line="24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Местоположение Памятника природы</w:t>
            </w:r>
          </w:p>
        </w:tc>
        <w:tc>
          <w:tcPr>
            <w:tcW w:type="dxa" w:w="506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00000">
            <w:pPr>
              <w:widowControl w:val="0"/>
              <w:spacing w:after="0" w:line="24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Камчатский </w:t>
            </w:r>
            <w:r>
              <w:rPr>
                <w:rFonts w:ascii="Times New Roman" w:hAnsi="Times New Roman"/>
                <w:sz w:val="24"/>
              </w:rPr>
              <w:t xml:space="preserve">край,  </w:t>
            </w:r>
            <w:r>
              <w:rPr>
                <w:rFonts w:ascii="Times New Roman" w:hAnsi="Times New Roman"/>
                <w:sz w:val="24"/>
              </w:rPr>
              <w:t>Тигильский</w:t>
            </w:r>
            <w:r>
              <w:rPr>
                <w:rFonts w:ascii="Times New Roman" w:hAnsi="Times New Roman"/>
                <w:sz w:val="24"/>
              </w:rPr>
              <w:t xml:space="preserve">                                         муниципальный район</w:t>
            </w:r>
          </w:p>
        </w:tc>
      </w:tr>
      <w:tr>
        <w:tc>
          <w:tcPr>
            <w:tcW w:type="dxa" w:w="5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41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00000">
            <w:pPr>
              <w:widowControl w:val="0"/>
              <w:spacing w:after="0" w:line="24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Площадь объекта +/– величина погрешности определения площади </w:t>
            </w:r>
            <w:r>
              <w:rPr>
                <w:rFonts w:ascii="Times New Roman" w:hAnsi="Times New Roman"/>
                <w:sz w:val="24"/>
              </w:rPr>
              <w:t xml:space="preserve">   (</w:t>
            </w:r>
            <w:r>
              <w:rPr>
                <w:rFonts w:ascii="Times New Roman" w:hAnsi="Times New Roman"/>
                <w:sz w:val="24"/>
              </w:rPr>
              <w:t>Р +/– Дельта Р)</w:t>
            </w:r>
          </w:p>
        </w:tc>
        <w:tc>
          <w:tcPr>
            <w:tcW w:type="dxa" w:w="506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9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  <w:highlight w:val="yellow"/>
                <w:vertAlign w:val="superscript"/>
              </w:rPr>
            </w:pPr>
            <w:r>
              <w:rPr>
                <w:rFonts w:ascii="Times New Roman" w:hAnsi="Times New Roman"/>
                <w:sz w:val="24"/>
              </w:rPr>
              <w:t>1506475 +/- 10740 м</w:t>
            </w:r>
            <w:r>
              <w:rPr>
                <w:rFonts w:ascii="Times New Roman" w:hAnsi="Times New Roman"/>
                <w:sz w:val="24"/>
                <w:vertAlign w:val="superscript"/>
              </w:rPr>
              <w:t>2</w:t>
            </w:r>
          </w:p>
        </w:tc>
      </w:tr>
      <w:tr>
        <w:trPr>
          <w:trHeight w:hRule="atLeast" w:val="1262"/>
        </w:trPr>
        <w:tc>
          <w:tcPr>
            <w:tcW w:type="dxa" w:w="5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41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00000">
            <w:pPr>
              <w:widowControl w:val="0"/>
              <w:spacing w:after="0" w:line="24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Наименование и реквизиты нормативного правового акта о создании объекта</w:t>
            </w:r>
          </w:p>
        </w:tc>
        <w:tc>
          <w:tcPr>
            <w:tcW w:type="dxa" w:w="506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00000">
            <w:pPr>
              <w:widowControl w:val="0"/>
              <w:spacing w:line="240" w:lineRule="auto"/>
              <w:ind/>
              <w:jc w:val="both"/>
              <w:rPr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Решение Исполнительного комитета Камчатского областного Совета народных депутатов от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</w:t>
            </w:r>
          </w:p>
        </w:tc>
      </w:tr>
    </w:tbl>
    <w:p w14:paraId="AD000000">
      <w:pPr>
        <w:spacing w:after="0" w:line="240" w:lineRule="auto"/>
        <w:ind/>
        <w:jc w:val="center"/>
        <w:rPr>
          <w:rFonts w:ascii="Times New Roman" w:hAnsi="Times New Roman"/>
          <w:sz w:val="24"/>
        </w:rPr>
      </w:pPr>
    </w:p>
    <w:p w14:paraId="AE00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2. Сведения о местоположении границ Памятника природы </w:t>
      </w:r>
    </w:p>
    <w:p w14:paraId="AF000000">
      <w:pPr>
        <w:spacing w:after="0" w:line="240" w:lineRule="auto"/>
        <w:ind/>
        <w:jc w:val="center"/>
        <w:rPr>
          <w:rFonts w:ascii="Times New Roman" w:hAnsi="Times New Roman"/>
          <w:sz w:val="24"/>
        </w:rPr>
      </w:pPr>
    </w:p>
    <w:tbl>
      <w:tblPr>
        <w:tblStyle w:val="Style_3"/>
        <w:tblLayout w:type="fixed"/>
      </w:tblPr>
      <w:tblGrid>
        <w:gridCol w:w="1699"/>
        <w:gridCol w:w="1713"/>
        <w:gridCol w:w="1738"/>
        <w:gridCol w:w="2097"/>
        <w:gridCol w:w="2390"/>
      </w:tblGrid>
      <w:tr>
        <w:trPr>
          <w:trHeight w:hRule="atLeast" w:val="159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0000000">
            <w:pPr>
              <w:widowControl w:val="0"/>
              <w:spacing w:after="0" w:line="24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 Система координат: МСК-82, WGS-84</w:t>
            </w:r>
          </w:p>
        </w:tc>
      </w:tr>
      <w:tr>
        <w:trPr>
          <w:trHeight w:hRule="atLeast" w:val="108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1000000">
            <w:pPr>
              <w:widowControl w:val="0"/>
              <w:spacing w:after="0" w:line="24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 Сведения о характерных точках границ Памятника природы:</w:t>
            </w:r>
          </w:p>
        </w:tc>
      </w:tr>
      <w:tr>
        <w:tc>
          <w:tcPr>
            <w:tcW w:type="dxa" w:w="1699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2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Обозначение характерных точек границ</w:t>
            </w:r>
          </w:p>
        </w:tc>
        <w:tc>
          <w:tcPr>
            <w:tcW w:type="dxa" w:w="345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3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Координаты МСК-82</w:t>
            </w:r>
          </w:p>
        </w:tc>
        <w:tc>
          <w:tcPr>
            <w:tcW w:type="dxa" w:w="4487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4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Координаты WGS-84</w:t>
            </w:r>
          </w:p>
        </w:tc>
      </w:tr>
      <w:tr>
        <w:trPr>
          <w:trHeight w:hRule="atLeast" w:val="287"/>
        </w:trPr>
        <w:tc>
          <w:tcPr>
            <w:tcW w:type="dxa" w:w="1699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/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5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6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Y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7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Северная</w:t>
            </w:r>
          </w:p>
          <w:p w14:paraId="B8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широта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9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Восточная</w:t>
            </w:r>
          </w:p>
          <w:p w14:paraId="BA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долгота</w:t>
            </w:r>
          </w:p>
        </w:tc>
      </w:tr>
      <w:tr>
        <w:trPr>
          <w:trHeight w:hRule="atLeast" w:val="194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B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E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F00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992178.16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1285439.13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56°53'8.4''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156°35'11.7''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992124.11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1285407.27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56°53'6.7''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156°35'9.9''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992079.00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1285394.62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56°53'5.2''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156°35'9.2''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992030.10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1285381.93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56°53'3.6''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156°35'8.5''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991984.57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1285380.69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56°53'2.1''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156°35'8.5''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991931.46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1285383.01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56°53'0.4''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156°35'8.8''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991866.44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1285405.92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56°52'58.3''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156°35'10.2''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991806.54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1285392.26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56°52'56.2''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156°35'11.6''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991733.97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1285405.52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56°52'54.1''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156°35'13.1''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991642.59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1285418.20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56°52'51.9''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156°35'15.6''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991539.33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1285445.81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56°52'49.1''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156°35'18.3''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991473.72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1285482.07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56°52'46.9''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156°35'19.9''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0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991408.63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0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1285503.10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0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56°52'45.3''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156°35'21.6''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991347.22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1285528.08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56°52'42.9''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156°35'22.6''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991266.67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1285556.31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56°52'40.0''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156°35'23.7''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1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991178.56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1285588.12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56°52'37.8''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156°35'25.2''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991128.40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1285617.19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56°52'35.8''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156°35'26.8''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991082.03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1285646.36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56°52'33.9''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156°35'28.6''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991035.66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1285675.53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56°52'32.5''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156°35'30.6''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990985.30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1285712.16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56°52'31.5''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156°35'31.9''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990942.72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1285741.44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56°52'29.3''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156°35'33.6''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990853.77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1285799.89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56°52'26.5''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156°35'36.8''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990780.18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1285854.99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56°52'24.1''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156°35'39.8''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990717.59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1285923.14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56°52'21.7''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156°35'42.6''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990642.75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1285959.04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56°52'19.3''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156°35'44.8''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990566.09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1285987.33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56°52'16.8''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156°35'46.6''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990470.64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1286018.89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56°52'13.8''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156°35'48.6''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990325.55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1286056.73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56°52'9.1''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156°35'51.1''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990239.65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1286080.99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56°52'6.4''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156°35'52.7''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990176.68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1286098.25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56°52'4.4''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156°35'53.8''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31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990106.23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1286111.52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56°52'2.1''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156°35'54.7''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32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990060.70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1286114.07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56°52'0.6''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156°35'54.9''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33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990025.16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1286097.90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56°51'59.5''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156°35'54.0''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34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989999.75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1286057.30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56°51'58.6''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156°35'51.7''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35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989982.07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1286011.30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56°51'57.9''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156°35'48.9''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36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989977.74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1285961.74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56°51'57.8''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156°35'46.1''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37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989996.43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1285901.47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56°51'58.4''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156°35'42.5''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38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990024.90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1285830.12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56°51'59.2''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156°35'38.2''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39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990065.77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1285721.09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56°52'0.4''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156°35'31.7''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40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990118.25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1285602.87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56°52'2.0''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156°35'24.7''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41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990133.52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1285529.20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56°52'2.5''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156°35'20.3''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42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990149.58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1285427.12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56°52'2.9''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156°35'14.2''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43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990154.23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1285326.56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56°52'2.9''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156°35'8.3''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44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990153.83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1285203.17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56°52'2.8''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156°35'1.0''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45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990142.09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1285079.40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56°52'2.3''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156°34'53.7''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46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990118.37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1284978.06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56°52'1.5''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156°34'47.8''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47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990081.29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1284880.19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56°52'0.2''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156°34'42.1''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10000">
            <w:pPr>
              <w:widowControl w:val="0"/>
              <w:spacing w:after="0" w:line="240" w:lineRule="auto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48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990043.27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1284816.47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56°51'58.9''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156°34'38.4''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1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990045.26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1284744.33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56°51'58.9'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156°34'34.1''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1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990043.36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1284675.94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56°51'58.8''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156°34'30.1''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1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990020.70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1284605.07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56°51'57.9''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156°34'25.9''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1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989982.58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1284545.13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56°51'56.7''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156°34'22.5''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1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989946.03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1284496.64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56°51'55.5''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156°34'19.7''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1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989905.44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1284457.49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56°51'54.1''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156°34'17.4''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1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989838.83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1284396.82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56°51'51.9''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156°34'13.9''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1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989777.84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1284341.91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56°51'49.9''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156°34'10.8''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1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989729.57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1284306.40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56°51'48.3''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156°34'8.8''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989662.60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1284262.74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56°51'46.1''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156°34'6.3''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989594.04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1284207.68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56°51'43.9''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989503.26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1284134.86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56°51'40.9''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156°33'59.1''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989425.29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1284077.64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56°51'38.3''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1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156°33'55.8''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989321.30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1284002.55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56°51'34.9''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1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156°33'51.6''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989226.14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1283946.67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56°51'31.7''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156°33'48.4''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989110.43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1283884.62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56°51'27.9''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156°33'44.9''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989028.28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1283822.09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56°51'25.0''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156°33'42.9''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988924.03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1283753.61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56°51'21.6''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156°33'40.6''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988821.63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1283710.44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56°51'18.3''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156°33'39.6''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988680.95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1283681.39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56°51'14.5''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156°33'38.9''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988559.92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1283673.09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56°51'10.8''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156°33'37.9''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988446.33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1283670.03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56°51'7.6'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156°33'37.1''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988375.51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1283673.19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56°51'4.4''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156°33'37.2''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988284.30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1283683.36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56°51'1.6''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156°33'37.6''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988198.14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1283693.68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56°50'58.6''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156°33'37.9''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988054.06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1283697.38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56°50'53.6''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156°33'39.5''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987930.30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1283696.57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56°50'50.4''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156°33'40.5''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987806.06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1283713.44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56°50'47.1''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156°33'41.3''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987716.83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1283743.88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56°50'43.5''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156°33'42.0''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987622.96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1283759.04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56°50'40.3''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156°33'42.3''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987548.88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1283789.89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56°50'37.8''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156°33'43.2''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987449.89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1283807.43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56°50'34.9''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156°33'44.6''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987368.10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1283843.13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56°50'32.3''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156°33'47.1''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987301.10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1283891.85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56°50'30.5''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156°33'49.5''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987266.94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1283941.45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56°50'29.4''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156°33'51.9''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987262.92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1283996.92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56°50'28.8''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156°33'54.1''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987275.69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1284057.85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56°50'28.8''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156°33'58.2''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987283.20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1284128.41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56°50'29.1''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987272.36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1284209.36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56°50'29.5''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156°34'6.3''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987265.96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1284259.71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56°50'29.8''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156°34'9.6''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987254.36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1284314.97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56°50'29.9''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156°34'13.6''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987237.66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1284372.63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56°50'29.8''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156°34'16.9''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987216.11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1284422.57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56°50'29.4''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156°34'20.0''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987179.48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1284469.58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56°50'28.6''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156°34'24.0''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987150.01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1284531.94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56°50'27.2''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156°34'27.5''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987098.31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1284576.01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56°50'24.9''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156°34'30.9''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987031.32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1284624.74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56°50'22.7''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156°34'34.2''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986961.81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1284673.39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56°50'19.8''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156°34'37.0''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986857.30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1284708.47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56°50'17.0''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156°34'39.7''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986785.87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1284734.33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56°50'14.9''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156°34'40.9''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986730.07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1284742.94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56°50'12.8''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156°34'41.1''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986659.26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1284746.09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56°50'9.7''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156°34'41.1''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986583.46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1284746.57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56°50'7.3''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156°34'40.7''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986504.80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1284737.87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56°50'4.5''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156°34'39.5''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986411.01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1284704.87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56°50'1.5''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156°34'37.7''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986263.38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1284632.39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56°49'56.6''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156°34'33.7''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986181.26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1284588.28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56°49'53.9''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156°34'31.2''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986114.21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1284542.75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56°49'51.7''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156°34'28.6''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986045.29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1284500.90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56°49'49.5''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156°34'26.3''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985976.00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1284472.35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56°49'47.2''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156°34'24.7''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985902.87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1284445.66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56°49'44.8''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156°34'23.3''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985791.25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1284372.20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56°49'41.1''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156°34'19.1''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985662.28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1284309.74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56°49'36.9''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156°34'15.6''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986961.81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1284673.39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2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56°49'33.4''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156°34'13.1''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2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986857.30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1284708.47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56°49'27.9''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156°34'8.7''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986785.87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1284734.33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56°49'24.6''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156°34'6.7''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986730.07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1284742.94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56°49'20.9''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156°34'4.2''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986659.26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1284746.09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56°49'18.9''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156°34'2.8''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986583.46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1284746.57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56°49'16.3''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986504.80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1284737.87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56°49'14.3''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156°34'1.1''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986411.01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1284704.87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56°49'11.7''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986263.38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1284632.39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56°49'9.4''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986181.26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1284588.28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56°49'6.3''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156°34'0.9''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986114.21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1284542.75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56°49'3.9''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156°34'0.3''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986045.29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1284500.90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56°49'0.7''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156°33'58.8''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985976.00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1284472.35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56°48'57.9''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156°33'57.5''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985902.87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1284445.66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56°48'55.7''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156°33'55.8''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985791.25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1284372.20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56°48'53.4''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156°33'53.6''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985662.28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1284309.74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56°48'51.0''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156°33'52.4''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984160.79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1283872.57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56°48'48.0''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156°33'52.3''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984080.57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1283896.99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56°48'45.4''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156°33'53.9''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983988.45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1283940.08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56°48'42.5''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156°33'56.6''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983926.77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1283978.29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56°48'40.5''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156°33'58.9''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983881.77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1284030.33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56°48'39.1''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156°34'2.1''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983845.09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1284095.68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56°48'38.0''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156°34'5.9''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983913.00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1284133.87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56°48'40.2''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156°34'8.1''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983942.71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1284087.14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56°48'41.2''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156°34'5.3''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983993.07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1284046.74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56°48'42.7''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156°34'2.9''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984075.76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1283989.99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56°48'45.4''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156°33'59.4''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984158.49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1283951.40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56°48'47.9''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156°33'56.9''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984239.25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1283944.17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56°48'50.6''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156°33'56.4''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984304.26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1283962.11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56°48'52.7''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156°33'57.4''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984365.05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1283996.12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56°48'54.78''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156°33'59.8''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984430.58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1284027.45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56°48'56.8''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984502.94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1284054.15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56°48'59.2''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156°34'2.'0'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984577.28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1284077.16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56°49'1.6''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984637.46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1284096.86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56°49'3.6''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156°34'4.8''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984722.34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1284113.51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56°49'6.4''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156°34'5.6''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984792.41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1284122.11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56°49'8.6''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156°34'6.0''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984868.30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1284125.13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56°49'11.1''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156°34'6.1''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984951.01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1284119.84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56°49'13.8''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156°34'5.6''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985012.78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1284118.68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56°49'15.7''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156°34'5.4''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985073.19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1284129.89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56°49'17.7''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156°34'6.0''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985146.42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1284156.60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56°49'20.1''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156°34'7.5''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985205.56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1284182.00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56°49'22.0''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156°34'8.9''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985265.36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1284215.06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56°49'23.9''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156°34'10.7''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985362.66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1284262.42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56°49'27.2''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156°34'13.3''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985453.73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1284301.04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56°49'30.2''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156°34'15.5''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985547.32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1284345.48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56°49'33.2''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156°34'17.9''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985670.57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1284421.16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56°49'37.3''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156°34'22.2''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985778.89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1284484.99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56°49'40.8''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156°34'25.8''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985876.66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1284551.34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56°49'44.1''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156°34'29.5''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985992.62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1284612.57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56°49'47.9''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156°34'32.9''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986090.77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1284665.67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56°49'51.1''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3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156°34'35.9''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3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986206.00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1284721.08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56°49'54.8''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156°34'39.0''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986334.39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1284780.68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56°49'59.0''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156°34'42.3''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986457.37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1284829.70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56°50'3.1''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156°34'44.9''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986546.00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1284852.11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56°50'5.9''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156°34'46.2''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986676.64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1284866.16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56°50'10.2''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156°34'46.8''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986784.80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1284867.24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56°50'13.7''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156°34'46.7''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986851.44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1284858.63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56°50'15.8''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156°34'46.1''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986918.29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1284842.40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56°50'17.9''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156°34'44.9''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987022.07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1284795.85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56°50'21.3''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156°34'42.1''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987121.58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1284731.11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56°50'24.4''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156°34'38.1''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987213.38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1284670.94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56°50'27.3''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156°34'34.4''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987277.65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1284610.97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56°50'29.4''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156°34'30.8''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987325.18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1284540.04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56°50'30.8''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156°34'26.5''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987354.17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1284486.68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56°50'31.7''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156°34'23.3''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987371.91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1284429.22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56°50'32.3''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156°34'19.9''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987377.43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1284366.66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56°50'32.4''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156°34'16.2''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987373.30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1284310.49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56°50'32.2''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156°34'12.9''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987362.37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1284226.53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56°50'31.8''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156°34'7.9''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987344.89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1284137.69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56°50'31.1''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987341.89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1284073.00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56°50'30.9''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156°33'58.9''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987352.42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1284002.94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56°50'31.2''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156°33'54.8''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987398.48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1283949.14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56°50'32.7''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156°33'51.6''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987423.03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1283919.42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56°50'33.5''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156°33'49.8''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987472.64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1283910.35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56°50'35.0''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156°33'49.1''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987540.92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1283898.30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56°50'37.2''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156°33'49.3''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987619.77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1283877.69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56°50'39.7''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156°33'47.9''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987707.92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1283879.82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56°50'42.6''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156°33'46.9''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987868.71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1283863.35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56°50'47.8''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156°33'45.7''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987987.59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1283855.30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56°50'51.6''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156°33'45.1''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988082.63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1283851.29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56°50'54.7''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156°33'44.7''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988195.58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1283852.53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56°50'58.4''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156°33'44.6''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988301.68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1283859.26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56°51'1.8''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156°33'44.8''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988371.74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1283867.87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56°51'4.1''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156°33'45.2''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988500.32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1283883.84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56°51'8.2''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156°33'45.9''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988625.89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1283908.21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56°51'12.3''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156°33'47.1''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988758.04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1283931.84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56°51'16.6''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156°33'48.3''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988845.84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1283947.59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56°51'19.4''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156°33'49.1''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988979.29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1283996.90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56°51'23.8''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156°33'51.8''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989099.56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1284039.17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56°51'27.7''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156°33'54.1''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989231.62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1284102.66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56°51'32.1''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156°33'57.6''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989319.47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1284148.80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56°51'34.9''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156°34'0.2''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989411.05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1284205.47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56°51'37.9''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989511.65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1284269.97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56°51'41.2''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156°34'7.0''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989607.32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1284347.69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56°51'44.4''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156°34'11.4''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989656.06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1284402.20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56°51'46.0''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156°34'14.6'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989719.53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1284476.09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56°51'48.2''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156°34'18.8''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989777.21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1284553.66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56°51'50.1''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156°34'23.3''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989821.02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1284649.83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56°51'51.6''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156°34'28.9''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989861.54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1284731.69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56°51'52.9''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156°34'33.7''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989897.28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1284809.63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56°51'54.2''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4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156°34'38.2''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989949.63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4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1284906.95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56°51'55.9''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156°34'43.9''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989980.99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1285010.40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56°51'57.1''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156°34'49.9''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990006.89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1285101.31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56°51'57.9''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156°34'55.3''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990020.01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1285179.54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56°51'58.5''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156°34'59.8''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990025.65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1285249.93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56°51'58.7''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156°35'3.9''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990030.64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1285344.10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56°51'58.9''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156°35'9.5''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990031.90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1285436.22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56°51'59.1''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156°35'14.9''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990026.11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1285509.17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56°51'58.9''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156°35'19.3''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990009.07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1285610.31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56°51'58.5''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156°35'25.3''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989968.12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1285718.42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56°51'57.3''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156°35'31.7''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989927.96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1285801.84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56°51'56.1''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156°35'36.7''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989901.53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1285863.79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56°51'55.3''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156°35'40.4''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989887.41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1285927.97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56°51'54.9''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156°35'44.2''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989886.52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1285997.27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56°51'54.9''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156°35'48.3''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989890.54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1286058.16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56°51'55.1''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156°35'51.9''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989915.66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1286109.19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56°51'55.9''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156°35'54.9'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989955.51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1286147.33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56°51'57.3''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156°35'57.0''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990011.75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1286172.59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56°51'59.1''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156°35'58.4''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990074.20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1286179.00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56°52'1.1''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156°35'58.7''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990154.30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1286166.96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56°52'3.7''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156°35'57.9''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990253.46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1286146.91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56°52'6.9''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156°35'56.5''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990313.78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1286128.59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56°52'8.8''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156°35'55.4'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990351.03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1286119.18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56°52'10.0''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156°35'54.7''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990416.54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1286119.07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56°52'12.1''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156°35'54.6''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990450.80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1286113.36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56°52'13.2''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156°35'54.2''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990492.12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1286097.34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56°52'14.6'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156°35'53.2''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990526.70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1286079.30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56°52'15.6''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156°35'52.1''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990593.32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1286071.66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56°52'17.8''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156°35'51.6''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990661.99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1286062.13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56°52'20.0''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156°35'50.9''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990774.84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1286030.07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56°52'23.6''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156°35'48.8''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990857.13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1286002.91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56°52'26.3''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156°35'47.1''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990955.64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1285945.75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56°52'29.4''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156°35'43.5''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991070.86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1285916.20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56°52'32.2''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156°35'40.7''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20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23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991151.41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1285884.11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56°52'34.9''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156°35'37.7''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991225.00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1285832.86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56°52'37.0''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156°35'35.9''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991316.31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1285769.53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56°52'40.9''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156°35'32.6''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991405.48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1285735.93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56°52'43.7''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156°35'30.4''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991474.35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1285715.00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56°52'45.9''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156°35'29.1''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991549.66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1285702.85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56°52'48.4''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156°35'28.2''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252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991700.38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1285707.89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56°52'53.2''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156°35'28.3''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253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991780.94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1285712.04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56°52'55.9''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156°35'28.4''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254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991839.09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1285704.13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56°52'57.7''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156°35'27.8''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255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991907.98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1285706.99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56°53'0.1''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156°35'26.2''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256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991984.22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1285693.89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56°53'1.8''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156°35'25.1''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257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992056.26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1285699.64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56°53'4.8''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156°35'24.8''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258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992128.09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1285709.23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56°53'7.2''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156°35'25.2''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259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992184.56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1285725.97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56°53'9.2''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156°35'25.6''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260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992190.40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1285614.57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56°53'8.9''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156°35'21.9''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713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992178.16</w:t>
            </w:r>
          </w:p>
        </w:tc>
        <w:tc>
          <w:tcPr>
            <w:tcW w:type="dxa" w:w="1738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50000">
            <w:pPr>
              <w:widowControl w:val="0"/>
              <w:spacing w:after="0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1285439.13</w:t>
            </w:r>
          </w:p>
        </w:tc>
        <w:tc>
          <w:tcPr>
            <w:tcW w:type="dxa" w:w="2097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56°53'8.4''</w:t>
            </w:r>
          </w:p>
        </w:tc>
        <w:tc>
          <w:tcPr>
            <w:tcW w:type="dxa" w:w="2390"/>
            <w:tcBorders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50000">
            <w:pPr>
              <w:widowControl w:val="0"/>
              <w:spacing w:after="0"/>
              <w:ind/>
              <w:jc w:val="center"/>
            </w:pPr>
            <w:r>
              <w:rPr>
                <w:rFonts w:ascii="Times New Roman" w:hAnsi="Times New Roman"/>
                <w:sz w:val="24"/>
              </w:rPr>
              <w:t>156°35'11.7''</w:t>
            </w:r>
          </w:p>
        </w:tc>
      </w:tr>
    </w:tbl>
    <w:p w14:paraId="F7050000">
      <w:pPr>
        <w:rPr>
          <w:rFonts w:ascii="Times New Roman" w:hAnsi="Times New Roman"/>
          <w:sz w:val="24"/>
        </w:rPr>
      </w:pPr>
    </w:p>
    <w:p w14:paraId="F8050000">
      <w:pPr>
        <w:rPr>
          <w:rFonts w:ascii="Times New Roman" w:hAnsi="Times New Roman"/>
          <w:sz w:val="24"/>
        </w:rPr>
      </w:pPr>
    </w:p>
    <w:p w14:paraId="F9050000">
      <w:pPr>
        <w:rPr>
          <w:rFonts w:ascii="Times New Roman" w:hAnsi="Times New Roman"/>
          <w:sz w:val="24"/>
        </w:rPr>
      </w:pPr>
    </w:p>
    <w:p w14:paraId="FA050000">
      <w:pPr>
        <w:rPr>
          <w:rFonts w:ascii="Times New Roman" w:hAnsi="Times New Roman"/>
          <w:sz w:val="24"/>
        </w:rPr>
      </w:pPr>
    </w:p>
    <w:p w14:paraId="FB050000">
      <w:pPr>
        <w:rPr>
          <w:rFonts w:ascii="Times New Roman" w:hAnsi="Times New Roman"/>
          <w:sz w:val="24"/>
        </w:rPr>
      </w:pPr>
    </w:p>
    <w:p w14:paraId="FC050000">
      <w:pPr>
        <w:rPr>
          <w:rFonts w:ascii="Times New Roman" w:hAnsi="Times New Roman"/>
          <w:sz w:val="24"/>
        </w:rPr>
      </w:pPr>
    </w:p>
    <w:p w14:paraId="FD050000">
      <w:pPr>
        <w:rPr>
          <w:rFonts w:ascii="Times New Roman" w:hAnsi="Times New Roman"/>
          <w:sz w:val="24"/>
        </w:rPr>
      </w:pPr>
    </w:p>
    <w:p w14:paraId="FE050000">
      <w:pPr>
        <w:rPr>
          <w:rFonts w:ascii="Times New Roman" w:hAnsi="Times New Roman"/>
          <w:sz w:val="24"/>
        </w:rPr>
      </w:pPr>
    </w:p>
    <w:p w14:paraId="FF050000">
      <w:pPr>
        <w:rPr>
          <w:rFonts w:ascii="Times New Roman" w:hAnsi="Times New Roman"/>
          <w:sz w:val="24"/>
        </w:rPr>
      </w:pPr>
    </w:p>
    <w:p w14:paraId="00060000">
      <w:pPr>
        <w:rPr>
          <w:rFonts w:ascii="Times New Roman" w:hAnsi="Times New Roman"/>
          <w:sz w:val="24"/>
        </w:rPr>
      </w:pPr>
    </w:p>
    <w:p w14:paraId="01060000">
      <w:pPr>
        <w:rPr>
          <w:rFonts w:ascii="Times New Roman" w:hAnsi="Times New Roman"/>
          <w:sz w:val="24"/>
        </w:rPr>
      </w:pPr>
    </w:p>
    <w:p w14:paraId="02060000">
      <w:pPr>
        <w:rPr>
          <w:rFonts w:ascii="Times New Roman" w:hAnsi="Times New Roman"/>
          <w:sz w:val="24"/>
        </w:rPr>
      </w:pPr>
    </w:p>
    <w:p w14:paraId="03060000">
      <w:pPr>
        <w:rPr>
          <w:rFonts w:ascii="Times New Roman" w:hAnsi="Times New Roman"/>
          <w:sz w:val="24"/>
        </w:rPr>
      </w:pPr>
    </w:p>
    <w:p w14:paraId="04060000">
      <w:pPr>
        <w:rPr>
          <w:rFonts w:ascii="Times New Roman" w:hAnsi="Times New Roman"/>
          <w:sz w:val="24"/>
        </w:rPr>
      </w:pPr>
    </w:p>
    <w:p w14:paraId="05060000">
      <w:pPr>
        <w:rPr>
          <w:rFonts w:ascii="Times New Roman" w:hAnsi="Times New Roman"/>
          <w:sz w:val="24"/>
        </w:rPr>
      </w:pPr>
    </w:p>
    <w:p w14:paraId="06060000">
      <w:pPr>
        <w:rPr>
          <w:rFonts w:ascii="Times New Roman" w:hAnsi="Times New Roman"/>
          <w:sz w:val="24"/>
        </w:rPr>
      </w:pPr>
    </w:p>
    <w:p w14:paraId="07060000">
      <w:pPr>
        <w:rPr>
          <w:rFonts w:ascii="Times New Roman" w:hAnsi="Times New Roman"/>
          <w:sz w:val="24"/>
        </w:rPr>
      </w:pPr>
    </w:p>
    <w:p w14:paraId="08060000">
      <w:pPr>
        <w:rPr>
          <w:rFonts w:ascii="Times New Roman" w:hAnsi="Times New Roman"/>
          <w:sz w:val="24"/>
        </w:rPr>
      </w:pPr>
    </w:p>
    <w:p w14:paraId="09060000">
      <w:pPr>
        <w:rPr>
          <w:rFonts w:ascii="Times New Roman" w:hAnsi="Times New Roman"/>
          <w:sz w:val="24"/>
        </w:rPr>
      </w:pPr>
    </w:p>
    <w:p w14:paraId="0A060000">
      <w:pPr>
        <w:rPr>
          <w:rFonts w:ascii="Times New Roman" w:hAnsi="Times New Roman"/>
          <w:sz w:val="24"/>
        </w:rPr>
      </w:pPr>
    </w:p>
    <w:p w14:paraId="0B06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3. Карта-схема границ Памятника природы </w:t>
      </w:r>
    </w:p>
    <w:p w14:paraId="0C06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</w:p>
    <w:p w14:paraId="0D06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column">
              <wp:posOffset>165100</wp:posOffset>
            </wp:positionH>
            <wp:positionV relativeFrom="paragraph">
              <wp:posOffset>24130</wp:posOffset>
            </wp:positionV>
            <wp:extent cx="5776595" cy="7200900"/>
            <wp:effectExtent b="0" l="0" r="0" t="0"/>
            <wp:wrapNone/>
            <wp:docPr hidden="false" id="6" name="Picture 6"/>
            <a:graphic>
              <a:graphicData uri="http://schemas.openxmlformats.org/drawingml/2006/picture">
                <pic:pic>
                  <pic:nvPicPr>
                    <pic:cNvPr hidden="false" id="5" name="Picture 5"/>
                    <pic:cNvPicPr preferRelativeResize="true"/>
                  </pic:nvPicPr>
                  <pic:blipFill>
                    <a:blip r:embed="rId4"/>
                    <a:srcRect b="1236" l="0" r="0" t="0"/>
                    <a:stretch/>
                  </pic:blipFill>
                  <pic:spPr>
                    <a:xfrm flipH="false" flipV="false" rot="0">
                      <a:ext cx="5776595" cy="720090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0E060000">
      <w:pPr>
        <w:ind/>
        <w:jc w:val="center"/>
      </w:pPr>
    </w:p>
    <w:p w14:paraId="0F060000">
      <w:pPr>
        <w:ind/>
        <w:jc w:val="center"/>
      </w:pPr>
    </w:p>
    <w:p w14:paraId="10060000">
      <w:pPr>
        <w:ind/>
        <w:jc w:val="center"/>
      </w:pPr>
    </w:p>
    <w:p w14:paraId="11060000">
      <w:pPr>
        <w:ind/>
        <w:jc w:val="center"/>
      </w:pPr>
    </w:p>
    <w:p w14:paraId="12060000">
      <w:pPr>
        <w:ind/>
        <w:jc w:val="center"/>
      </w:pPr>
    </w:p>
    <w:p w14:paraId="13060000">
      <w:pPr>
        <w:ind/>
        <w:jc w:val="center"/>
      </w:pPr>
    </w:p>
    <w:p w14:paraId="14060000">
      <w:pPr>
        <w:ind/>
        <w:jc w:val="center"/>
      </w:pPr>
    </w:p>
    <w:p w14:paraId="15060000">
      <w:pPr>
        <w:ind/>
        <w:jc w:val="center"/>
      </w:pPr>
    </w:p>
    <w:p w14:paraId="16060000">
      <w:pPr>
        <w:ind/>
        <w:jc w:val="center"/>
      </w:pPr>
    </w:p>
    <w:p w14:paraId="17060000">
      <w:pPr>
        <w:ind/>
        <w:jc w:val="center"/>
      </w:pPr>
    </w:p>
    <w:p w14:paraId="18060000">
      <w:pPr>
        <w:ind/>
        <w:jc w:val="center"/>
      </w:pPr>
    </w:p>
    <w:p w14:paraId="19060000">
      <w:pPr>
        <w:ind/>
        <w:jc w:val="center"/>
      </w:pPr>
    </w:p>
    <w:p w14:paraId="1A060000">
      <w:pPr>
        <w:ind/>
        <w:jc w:val="center"/>
      </w:pPr>
    </w:p>
    <w:p w14:paraId="1B060000">
      <w:pPr>
        <w:ind/>
        <w:jc w:val="center"/>
      </w:pPr>
    </w:p>
    <w:p w14:paraId="1C060000">
      <w:pPr>
        <w:ind/>
        <w:jc w:val="center"/>
      </w:pPr>
    </w:p>
    <w:p w14:paraId="1D060000">
      <w:pPr>
        <w:ind/>
        <w:jc w:val="center"/>
      </w:pPr>
    </w:p>
    <w:p w14:paraId="1E060000">
      <w:pPr>
        <w:ind/>
        <w:jc w:val="center"/>
      </w:pPr>
    </w:p>
    <w:p w14:paraId="1F060000">
      <w:pPr>
        <w:ind/>
        <w:jc w:val="center"/>
      </w:pPr>
    </w:p>
    <w:p w14:paraId="20060000">
      <w:pPr>
        <w:ind/>
        <w:jc w:val="center"/>
      </w:pPr>
    </w:p>
    <w:p w14:paraId="21060000">
      <w:pPr>
        <w:ind/>
        <w:jc w:val="center"/>
      </w:pPr>
    </w:p>
    <w:p w14:paraId="22060000">
      <w:pPr>
        <w:ind/>
        <w:jc w:val="center"/>
      </w:pPr>
    </w:p>
    <w:p w14:paraId="23060000">
      <w:pPr>
        <w:ind/>
        <w:jc w:val="center"/>
      </w:pPr>
    </w:p>
    <w:p w14:paraId="24060000">
      <w:pPr>
        <w:ind/>
        <w:jc w:val="center"/>
      </w:pPr>
    </w:p>
    <w:p w14:paraId="25060000">
      <w:pPr>
        <w:ind/>
        <w:jc w:val="center"/>
      </w:pPr>
    </w:p>
    <w:p w14:paraId="26060000">
      <w:pPr>
        <w:ind/>
        <w:jc w:val="center"/>
      </w:pPr>
    </w:p>
    <w:p w14:paraId="27060000">
      <w:pPr>
        <w:ind/>
        <w:jc w:val="center"/>
      </w:pPr>
      <w:r>
        <w:drawing>
          <wp:inline>
            <wp:extent cx="6119495" cy="988087"/>
            <wp:effectExtent b="0" l="0" r="0" t="0"/>
            <wp:docPr hidden="false" id="8" name="Picture 8"/>
            <a:graphic>
              <a:graphicData uri="http://schemas.openxmlformats.org/drawingml/2006/picture">
                <pic:pic>
                  <pic:nvPicPr>
                    <pic:cNvPr hidden="false" id="7" name="Picture 7"/>
                    <pic:cNvPicPr preferRelativeResize="true"/>
                  </pic:nvPicPr>
                  <pic:blipFill>
                    <a:blip r:embed="rId5"/>
                    <a:stretch/>
                  </pic:blipFill>
                  <pic:spPr>
                    <a:xfrm flipH="false" flipV="false" rot="0">
                      <a:ext cx="6119495" cy="988087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28060000">
      <w:pPr>
        <w:ind/>
        <w:jc w:val="center"/>
      </w:pPr>
    </w:p>
    <w:p w14:paraId="29060000">
      <w:pPr>
        <w:rPr>
          <w:rFonts w:ascii="Times New Roman" w:hAnsi="Times New Roman"/>
          <w:sz w:val="24"/>
        </w:rPr>
      </w:pPr>
      <w:bookmarkStart w:id="2" w:name="_GoBack"/>
      <w:bookmarkEnd w:id="2"/>
    </w:p>
    <w:p w14:paraId="2A060000">
      <w:pPr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4. Ситуационный план местоположения Памятника природы</w:t>
      </w:r>
    </w:p>
    <w:p w14:paraId="2B06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</w:p>
    <w:p w14:paraId="2C060000">
      <w:pPr>
        <w:spacing w:after="0" w:line="240" w:lineRule="auto"/>
        <w:ind/>
        <w:jc w:val="center"/>
      </w:pPr>
      <w:r>
        <w:drawing>
          <wp:inline>
            <wp:extent cx="6010275" cy="3876675"/>
            <wp:docPr hidden="false" id="10" name="Picture 10"/>
            <a:graphic>
              <a:graphicData uri="http://schemas.openxmlformats.org/drawingml/2006/picture">
                <pic:pic>
                  <pic:nvPicPr>
                    <pic:cNvPr hidden="false" id="9" name="Picture 9"/>
                    <pic:cNvPicPr preferRelativeResize="true"/>
                  </pic:nvPicPr>
                  <pic:blipFill>
                    <a:blip r:embed="rId6"/>
                    <a:srcRect b="0" l="0" r="0" t="0"/>
                    <a:stretch/>
                  </pic:blipFill>
                  <pic:spPr>
                    <a:xfrm flipH="false" flipV="false" rot="0">
                      <a:ext cx="6010275" cy="387667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2D060000">
      <w:pPr>
        <w:spacing w:after="0" w:line="240" w:lineRule="auto"/>
        <w:ind/>
        <w:jc w:val="center"/>
      </w:pPr>
    </w:p>
    <w:p w14:paraId="2E060000">
      <w:pPr>
        <w:spacing w:after="0" w:line="240" w:lineRule="auto"/>
        <w:ind/>
        <w:jc w:val="center"/>
        <w:rPr>
          <w:rFonts w:ascii="Times New Roman" w:hAnsi="Times New Roman"/>
          <w:sz w:val="28"/>
        </w:rPr>
      </w:pPr>
      <w:r>
        <w:drawing>
          <wp:inline>
            <wp:extent cx="6029325" cy="4181475"/>
            <wp:docPr hidden="false" id="12" name="Picture 12"/>
            <a:graphic>
              <a:graphicData uri="http://schemas.openxmlformats.org/drawingml/2006/picture">
                <pic:pic>
                  <pic:nvPicPr>
                    <pic:cNvPr hidden="false" id="11" name="Picture 1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6029325" cy="4181475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2" w:type="first"/>
      <w:headerReference r:id="rId1" w:type="default"/>
      <w:pgSz w:h="16838" w:orient="portrait" w:w="11906"/>
      <w:pgMar w:bottom="822" w:footer="0" w:gutter="0" w:header="709" w:left="1418" w:right="851" w:top="1134"/>
      <w:pgNumType w:start="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>
    <w:pPr>
      <w:framePr w:hAnchor="margin" w:vAnchor="text" w:wrap="around" w:xAlign="left" w:y="1"/>
    </w:pPr>
    <w:r>
      <w:fldChar w:fldCharType="begin"/>
    </w:r>
    <w:r>
      <w:instrText xml:space="preserve">PAGE </w:instrText>
    </w:r>
    <w:r>
      <w:fldChar w:fldCharType="separate"/>
    </w:r>
    <w:r>
      <w:fldChar w:fldCharType="end"/>
    </w:r>
  </w:p>
  <w:p w14:paraId="01000000"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true" distB="0" distL="0" distR="0" distT="0" layoutInCell="true" locked="false" relativeHeight="251658240" simplePos="false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140335" cy="159385"/>
              <wp:wrapSquare distB="0" distL="0" distR="0" distT="0" wrapText="bothSides"/>
              <wp:docPr hidden="false" id="1" name="Picture 1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40335" cy="15938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2000000">
                          <w:pPr>
                            <w:pStyle w:val="Style_1"/>
                            <w:rPr>
                              <w:rFonts w:ascii="Times New Roman" w:hAnsi="Times New Roman"/>
                              <w:color w:val="000000"/>
                              <w:sz w:val="22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true" distB="0" distL="0" distR="0" distT="0" layoutInCell="true" locked="false" relativeHeight="251658240" simplePos="false">
              <wp:simplePos x="0" y="0"/>
              <wp:positionH relativeFrom="margin">
                <wp:align>left</wp:align>
              </wp:positionH>
              <wp:positionV relativeFrom="paragraph">
                <wp:posOffset>635</wp:posOffset>
              </wp:positionV>
              <wp:extent cx="142240" cy="169545"/>
              <wp:wrapSquare distB="0" distL="0" distR="0" distT="0" wrapText="bothSides"/>
              <wp:docPr hidden="false" id="2" name="Picture 2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42240" cy="16954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3000000">
                          <w:pPr>
                            <w:pStyle w:val="Style_1"/>
                            <w:rPr>
                              <w:rFonts w:asciiTheme="minorAscii" w:hAnsiTheme="minorHAnsi"/>
                              <w:color w:val="000000"/>
                              <w:sz w:val="22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</w:p>
</w:hdr>
</file>

<file path=word/header2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 w14:paraId="04000000">
    <w:pPr>
      <w:pStyle w:val="Style_2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  <w:pPr>
      <w:spacing w:after="160" w:line="264" w:lineRule="auto"/>
      <w:ind/>
    </w:pPr>
  </w:style>
  <w:style w:default="1" w:styleId="Style_1_ch" w:type="character">
    <w:name w:val="Normal"/>
    <w:link w:val="Style_1"/>
  </w:style>
  <w:style w:styleId="Style_5" w:type="paragraph">
    <w:name w:val="toc 2"/>
    <w:next w:val="Style_1"/>
    <w:link w:val="Style_5_ch"/>
    <w:uiPriority w:val="39"/>
    <w:pPr>
      <w:spacing w:after="160" w:line="264" w:lineRule="auto"/>
      <w:ind w:firstLine="0" w:left="200"/>
    </w:pPr>
    <w:rPr>
      <w:rFonts w:ascii="XO Thames" w:hAnsi="XO Thames"/>
      <w:sz w:val="28"/>
    </w:rPr>
  </w:style>
  <w:style w:styleId="Style_5_ch" w:type="character">
    <w:name w:val="toc 2"/>
    <w:link w:val="Style_5"/>
    <w:rPr>
      <w:rFonts w:ascii="XO Thames" w:hAnsi="XO Thames"/>
      <w:sz w:val="28"/>
    </w:rPr>
  </w:style>
  <w:style w:styleId="Style_6" w:type="paragraph">
    <w:name w:val="Footnote1"/>
    <w:link w:val="Style_6_ch"/>
    <w:pPr>
      <w:spacing w:after="160" w:line="264" w:lineRule="auto"/>
      <w:ind w:firstLine="851" w:left="0"/>
      <w:jc w:val="both"/>
    </w:pPr>
    <w:rPr>
      <w:rFonts w:ascii="XO Thames" w:hAnsi="XO Thames"/>
    </w:rPr>
  </w:style>
  <w:style w:styleId="Style_6_ch" w:type="character">
    <w:name w:val="Footnote1"/>
    <w:link w:val="Style_6"/>
    <w:rPr>
      <w:rFonts w:ascii="XO Thames" w:hAnsi="XO Thames"/>
    </w:rPr>
  </w:style>
  <w:style w:styleId="Style_7" w:type="paragraph">
    <w:name w:val="Contents 51"/>
    <w:link w:val="Style_7_ch"/>
    <w:rPr>
      <w:rFonts w:ascii="XO Thames" w:hAnsi="XO Thames"/>
      <w:sz w:val="28"/>
    </w:rPr>
  </w:style>
  <w:style w:styleId="Style_7_ch" w:type="character">
    <w:name w:val="Contents 51"/>
    <w:link w:val="Style_7"/>
    <w:rPr>
      <w:rFonts w:ascii="XO Thames" w:hAnsi="XO Thames"/>
      <w:sz w:val="28"/>
    </w:rPr>
  </w:style>
  <w:style w:styleId="Style_8" w:type="paragraph">
    <w:name w:val="toc 4"/>
    <w:next w:val="Style_1"/>
    <w:link w:val="Style_8_ch"/>
    <w:uiPriority w:val="39"/>
    <w:pPr>
      <w:spacing w:after="160" w:line="264" w:lineRule="auto"/>
      <w:ind w:firstLine="0" w:left="600"/>
    </w:pPr>
    <w:rPr>
      <w:rFonts w:ascii="XO Thames" w:hAnsi="XO Thames"/>
      <w:sz w:val="28"/>
    </w:rPr>
  </w:style>
  <w:style w:styleId="Style_8_ch" w:type="character">
    <w:name w:val="toc 4"/>
    <w:link w:val="Style_8"/>
    <w:rPr>
      <w:rFonts w:ascii="XO Thames" w:hAnsi="XO Thames"/>
      <w:sz w:val="28"/>
    </w:rPr>
  </w:style>
  <w:style w:styleId="Style_9" w:type="paragraph">
    <w:name w:val="Plain Text1"/>
    <w:basedOn w:val="Style_1"/>
    <w:link w:val="Style_9_ch"/>
    <w:pPr>
      <w:spacing w:after="0" w:line="240" w:lineRule="auto"/>
      <w:ind/>
    </w:pPr>
    <w:rPr>
      <w:rFonts w:ascii="Calibri" w:hAnsi="Calibri"/>
    </w:rPr>
  </w:style>
  <w:style w:styleId="Style_9_ch" w:type="character">
    <w:name w:val="Plain Text1"/>
    <w:basedOn w:val="Style_1_ch"/>
    <w:link w:val="Style_9"/>
    <w:rPr>
      <w:rFonts w:ascii="Calibri" w:hAnsi="Calibri"/>
    </w:rPr>
  </w:style>
  <w:style w:styleId="Style_10" w:type="paragraph">
    <w:name w:val="Contents 31"/>
    <w:link w:val="Style_10_ch"/>
    <w:rPr>
      <w:rFonts w:ascii="XO Thames" w:hAnsi="XO Thames"/>
      <w:sz w:val="28"/>
    </w:rPr>
  </w:style>
  <w:style w:styleId="Style_10_ch" w:type="character">
    <w:name w:val="Contents 31"/>
    <w:link w:val="Style_10"/>
    <w:rPr>
      <w:rFonts w:ascii="XO Thames" w:hAnsi="XO Thames"/>
      <w:sz w:val="28"/>
    </w:rPr>
  </w:style>
  <w:style w:styleId="Style_11" w:type="paragraph">
    <w:name w:val="toc 6"/>
    <w:next w:val="Style_1"/>
    <w:link w:val="Style_11_ch"/>
    <w:uiPriority w:val="39"/>
    <w:pPr>
      <w:spacing w:after="160" w:line="264" w:lineRule="auto"/>
      <w:ind w:firstLine="0" w:left="1000"/>
    </w:pPr>
    <w:rPr>
      <w:rFonts w:ascii="XO Thames" w:hAnsi="XO Thames"/>
      <w:sz w:val="28"/>
    </w:rPr>
  </w:style>
  <w:style w:styleId="Style_11_ch" w:type="character">
    <w:name w:val="toc 6"/>
    <w:link w:val="Style_11"/>
    <w:rPr>
      <w:rFonts w:ascii="XO Thames" w:hAnsi="XO Thames"/>
      <w:sz w:val="28"/>
    </w:rPr>
  </w:style>
  <w:style w:styleId="Style_12" w:type="paragraph">
    <w:name w:val="toc 7"/>
    <w:next w:val="Style_1"/>
    <w:link w:val="Style_12_ch"/>
    <w:uiPriority w:val="39"/>
    <w:pPr>
      <w:spacing w:after="160" w:line="264" w:lineRule="auto"/>
      <w:ind w:firstLine="0" w:left="1200"/>
    </w:pPr>
    <w:rPr>
      <w:rFonts w:ascii="XO Thames" w:hAnsi="XO Thames"/>
      <w:sz w:val="28"/>
    </w:rPr>
  </w:style>
  <w:style w:styleId="Style_12_ch" w:type="character">
    <w:name w:val="toc 7"/>
    <w:link w:val="Style_12"/>
    <w:rPr>
      <w:rFonts w:ascii="XO Thames" w:hAnsi="XO Thames"/>
      <w:sz w:val="28"/>
    </w:rPr>
  </w:style>
  <w:style w:styleId="Style_13" w:type="paragraph">
    <w:name w:val="Contents 41"/>
    <w:link w:val="Style_13_ch"/>
    <w:rPr>
      <w:rFonts w:ascii="XO Thames" w:hAnsi="XO Thames"/>
      <w:sz w:val="28"/>
    </w:rPr>
  </w:style>
  <w:style w:styleId="Style_13_ch" w:type="character">
    <w:name w:val="Contents 41"/>
    <w:link w:val="Style_13"/>
    <w:rPr>
      <w:rFonts w:ascii="XO Thames" w:hAnsi="XO Thames"/>
      <w:sz w:val="28"/>
    </w:rPr>
  </w:style>
  <w:style w:styleId="Style_14" w:type="paragraph">
    <w:name w:val="caption"/>
    <w:basedOn w:val="Style_1"/>
    <w:link w:val="Style_14_ch"/>
    <w:pPr>
      <w:spacing w:after="120" w:before="120"/>
      <w:ind/>
    </w:pPr>
    <w:rPr>
      <w:i w:val="1"/>
      <w:sz w:val="24"/>
    </w:rPr>
  </w:style>
  <w:style w:styleId="Style_14_ch" w:type="character">
    <w:name w:val="caption"/>
    <w:basedOn w:val="Style_1_ch"/>
    <w:link w:val="Style_14"/>
    <w:rPr>
      <w:i w:val="1"/>
      <w:sz w:val="24"/>
    </w:rPr>
  </w:style>
  <w:style w:styleId="Style_15" w:type="paragraph">
    <w:name w:val="Содержимое врезки"/>
    <w:basedOn w:val="Style_1"/>
    <w:link w:val="Style_15_ch"/>
  </w:style>
  <w:style w:styleId="Style_15_ch" w:type="character">
    <w:name w:val="Содержимое врезки"/>
    <w:basedOn w:val="Style_1_ch"/>
    <w:link w:val="Style_15"/>
  </w:style>
  <w:style w:styleId="Style_16" w:type="paragraph">
    <w:name w:val="Contents 81"/>
    <w:link w:val="Style_16_ch"/>
    <w:rPr>
      <w:rFonts w:ascii="XO Thames" w:hAnsi="XO Thames"/>
      <w:sz w:val="28"/>
    </w:rPr>
  </w:style>
  <w:style w:styleId="Style_16_ch" w:type="character">
    <w:name w:val="Contents 81"/>
    <w:link w:val="Style_16"/>
    <w:rPr>
      <w:rFonts w:ascii="XO Thames" w:hAnsi="XO Thames"/>
      <w:sz w:val="28"/>
    </w:rPr>
  </w:style>
  <w:style w:styleId="Style_17" w:type="paragraph">
    <w:name w:val="heading 3"/>
    <w:next w:val="Style_1"/>
    <w:link w:val="Style_17_ch"/>
    <w:uiPriority w:val="9"/>
    <w:qFormat/>
    <w:pPr>
      <w:ind/>
      <w:outlineLvl w:val="2"/>
    </w:pPr>
    <w:rPr>
      <w:rFonts w:ascii="XO Thames" w:hAnsi="XO Thames"/>
      <w:b w:val="1"/>
      <w:sz w:val="26"/>
    </w:rPr>
  </w:style>
  <w:style w:styleId="Style_17_ch" w:type="character">
    <w:name w:val="heading 3"/>
    <w:link w:val="Style_17"/>
    <w:rPr>
      <w:rFonts w:ascii="XO Thames" w:hAnsi="XO Thames"/>
      <w:b w:val="1"/>
      <w:sz w:val="26"/>
    </w:rPr>
  </w:style>
  <w:style w:styleId="Style_18" w:type="paragraph">
    <w:name w:val="footer"/>
    <w:basedOn w:val="Style_1"/>
    <w:link w:val="Style_18_ch"/>
    <w:pPr>
      <w:tabs>
        <w:tab w:leader="none" w:pos="4677" w:val="center"/>
        <w:tab w:leader="none" w:pos="9355" w:val="right"/>
      </w:tabs>
      <w:spacing w:after="0" w:line="240" w:lineRule="auto"/>
      <w:ind/>
    </w:pPr>
    <w:rPr>
      <w:rFonts w:ascii="Times New Roman" w:hAnsi="Times New Roman"/>
      <w:sz w:val="28"/>
    </w:rPr>
  </w:style>
  <w:style w:styleId="Style_18_ch" w:type="character">
    <w:name w:val="footer"/>
    <w:basedOn w:val="Style_1_ch"/>
    <w:link w:val="Style_18"/>
    <w:rPr>
      <w:rFonts w:ascii="Times New Roman" w:hAnsi="Times New Roman"/>
      <w:sz w:val="28"/>
    </w:rPr>
  </w:style>
  <w:style w:styleId="Style_19" w:type="paragraph">
    <w:name w:val="Гиперссылка1"/>
    <w:link w:val="Style_19_ch"/>
    <w:rPr>
      <w:color w:val="0000FF"/>
      <w:u w:val="single"/>
    </w:rPr>
  </w:style>
  <w:style w:styleId="Style_19_ch" w:type="character">
    <w:name w:val="Гиперссылка1"/>
    <w:link w:val="Style_19"/>
    <w:rPr>
      <w:color w:val="0000FF"/>
      <w:u w:val="single"/>
    </w:rPr>
  </w:style>
  <w:style w:styleId="Style_20" w:type="paragraph">
    <w:name w:val="Header1"/>
    <w:link w:val="Style_20_ch"/>
  </w:style>
  <w:style w:styleId="Style_20_ch" w:type="character">
    <w:name w:val="Header1"/>
    <w:link w:val="Style_20"/>
  </w:style>
  <w:style w:styleId="Style_21" w:type="paragraph">
    <w:name w:val="Колонтитул2"/>
    <w:basedOn w:val="Style_1"/>
    <w:link w:val="Style_21_ch"/>
  </w:style>
  <w:style w:styleId="Style_21_ch" w:type="character">
    <w:name w:val="Колонтитул2"/>
    <w:basedOn w:val="Style_1_ch"/>
    <w:link w:val="Style_21"/>
  </w:style>
  <w:style w:styleId="Style_22" w:type="paragraph">
    <w:name w:val="Heading 41"/>
    <w:link w:val="Style_22_ch"/>
    <w:rPr>
      <w:rFonts w:ascii="XO Thames" w:hAnsi="XO Thames"/>
      <w:b w:val="1"/>
      <w:sz w:val="24"/>
    </w:rPr>
  </w:style>
  <w:style w:styleId="Style_22_ch" w:type="character">
    <w:name w:val="Heading 41"/>
    <w:link w:val="Style_22"/>
    <w:rPr>
      <w:rFonts w:ascii="XO Thames" w:hAnsi="XO Thames"/>
      <w:b w:val="1"/>
      <w:sz w:val="24"/>
    </w:rPr>
  </w:style>
  <w:style w:styleId="Style_23" w:type="paragraph">
    <w:name w:val="Contents 11"/>
    <w:link w:val="Style_23_ch"/>
    <w:rPr>
      <w:rFonts w:ascii="XO Thames" w:hAnsi="XO Thames"/>
      <w:b w:val="1"/>
      <w:sz w:val="28"/>
    </w:rPr>
  </w:style>
  <w:style w:styleId="Style_23_ch" w:type="character">
    <w:name w:val="Contents 11"/>
    <w:link w:val="Style_23"/>
    <w:rPr>
      <w:rFonts w:ascii="XO Thames" w:hAnsi="XO Thames"/>
      <w:b w:val="1"/>
      <w:sz w:val="28"/>
    </w:rPr>
  </w:style>
  <w:style w:styleId="Style_24" w:type="paragraph">
    <w:name w:val="Содержимое таблицы1"/>
    <w:basedOn w:val="Style_1"/>
    <w:link w:val="Style_24_ch"/>
    <w:pPr>
      <w:widowControl w:val="0"/>
      <w:ind/>
    </w:pPr>
  </w:style>
  <w:style w:styleId="Style_24_ch" w:type="character">
    <w:name w:val="Содержимое таблицы1"/>
    <w:basedOn w:val="Style_1_ch"/>
    <w:link w:val="Style_24"/>
  </w:style>
  <w:style w:styleId="Style_25" w:type="paragraph">
    <w:name w:val="Title1"/>
    <w:link w:val="Style_25_ch"/>
    <w:rPr>
      <w:rFonts w:ascii="XO Thames" w:hAnsi="XO Thames"/>
      <w:b w:val="1"/>
      <w:caps w:val="1"/>
      <w:sz w:val="40"/>
    </w:rPr>
  </w:style>
  <w:style w:styleId="Style_25_ch" w:type="character">
    <w:name w:val="Title1"/>
    <w:link w:val="Style_25"/>
    <w:rPr>
      <w:rFonts w:ascii="XO Thames" w:hAnsi="XO Thames"/>
      <w:b w:val="1"/>
      <w:caps w:val="1"/>
      <w:sz w:val="40"/>
    </w:rPr>
  </w:style>
  <w:style w:styleId="Style_26" w:type="paragraph">
    <w:name w:val="Heading 11"/>
    <w:link w:val="Style_26_ch"/>
    <w:rPr>
      <w:rFonts w:ascii="XO Thames" w:hAnsi="XO Thames"/>
      <w:b w:val="1"/>
      <w:sz w:val="32"/>
    </w:rPr>
  </w:style>
  <w:style w:styleId="Style_26_ch" w:type="character">
    <w:name w:val="Heading 11"/>
    <w:link w:val="Style_26"/>
    <w:rPr>
      <w:rFonts w:ascii="XO Thames" w:hAnsi="XO Thames"/>
      <w:b w:val="1"/>
      <w:sz w:val="32"/>
    </w:rPr>
  </w:style>
  <w:style w:styleId="Style_27" w:type="paragraph">
    <w:name w:val="Гиперссылка11"/>
    <w:basedOn w:val="Style_28"/>
    <w:link w:val="Style_27_ch"/>
    <w:rPr>
      <w:color w:themeColor="hyperlink" w:val="0563C1"/>
      <w:u w:val="single"/>
    </w:rPr>
  </w:style>
  <w:style w:styleId="Style_27_ch" w:type="character">
    <w:name w:val="Гиперссылка11"/>
    <w:basedOn w:val="Style_28_ch"/>
    <w:link w:val="Style_27"/>
    <w:rPr>
      <w:color w:themeColor="hyperlink" w:val="0563C1"/>
      <w:u w:val="single"/>
    </w:rPr>
  </w:style>
  <w:style w:styleId="Style_29" w:type="paragraph">
    <w:name w:val="Footer1"/>
    <w:link w:val="Style_29_ch"/>
    <w:rPr>
      <w:rFonts w:ascii="Times New Roman" w:hAnsi="Times New Roman"/>
      <w:sz w:val="28"/>
    </w:rPr>
  </w:style>
  <w:style w:styleId="Style_29_ch" w:type="character">
    <w:name w:val="Footer1"/>
    <w:link w:val="Style_29"/>
    <w:rPr>
      <w:rFonts w:ascii="Times New Roman" w:hAnsi="Times New Roman"/>
      <w:sz w:val="28"/>
    </w:rPr>
  </w:style>
  <w:style w:styleId="Style_30" w:type="paragraph">
    <w:name w:val="Указатель11"/>
    <w:basedOn w:val="Style_1"/>
    <w:link w:val="Style_30_ch"/>
  </w:style>
  <w:style w:styleId="Style_30_ch" w:type="character">
    <w:name w:val="Указатель11"/>
    <w:basedOn w:val="Style_1_ch"/>
    <w:link w:val="Style_30"/>
  </w:style>
  <w:style w:styleId="Style_28" w:type="paragraph">
    <w:name w:val="Основной шрифт абзаца11"/>
    <w:link w:val="Style_28_ch"/>
    <w:pPr>
      <w:spacing w:after="160" w:line="264" w:lineRule="auto"/>
      <w:ind/>
    </w:pPr>
  </w:style>
  <w:style w:styleId="Style_28_ch" w:type="character">
    <w:name w:val="Основной шрифт абзаца11"/>
    <w:link w:val="Style_28"/>
  </w:style>
  <w:style w:styleId="Style_31" w:type="paragraph">
    <w:name w:val="toc 3"/>
    <w:next w:val="Style_1"/>
    <w:link w:val="Style_31_ch"/>
    <w:uiPriority w:val="39"/>
    <w:pPr>
      <w:spacing w:after="160" w:line="264" w:lineRule="auto"/>
      <w:ind w:firstLine="0" w:left="400"/>
    </w:pPr>
    <w:rPr>
      <w:rFonts w:ascii="XO Thames" w:hAnsi="XO Thames"/>
      <w:sz w:val="28"/>
    </w:rPr>
  </w:style>
  <w:style w:styleId="Style_31_ch" w:type="character">
    <w:name w:val="toc 3"/>
    <w:link w:val="Style_31"/>
    <w:rPr>
      <w:rFonts w:ascii="XO Thames" w:hAnsi="XO Thames"/>
      <w:sz w:val="28"/>
    </w:rPr>
  </w:style>
  <w:style w:styleId="Style_32" w:type="paragraph">
    <w:name w:val="Колонтитул1"/>
    <w:link w:val="Style_32_ch"/>
    <w:pPr>
      <w:spacing w:after="160"/>
      <w:ind/>
      <w:jc w:val="both"/>
    </w:pPr>
    <w:rPr>
      <w:rFonts w:ascii="XO Thames" w:hAnsi="XO Thames"/>
      <w:sz w:val="20"/>
    </w:rPr>
  </w:style>
  <w:style w:styleId="Style_32_ch" w:type="character">
    <w:name w:val="Колонтитул1"/>
    <w:link w:val="Style_32"/>
    <w:rPr>
      <w:rFonts w:ascii="XO Thames" w:hAnsi="XO Thames"/>
      <w:sz w:val="20"/>
    </w:rPr>
  </w:style>
  <w:style w:styleId="Style_33" w:type="paragraph">
    <w:name w:val="Heading 31"/>
    <w:link w:val="Style_33_ch"/>
    <w:rPr>
      <w:rFonts w:ascii="XO Thames" w:hAnsi="XO Thames"/>
      <w:b w:val="1"/>
      <w:sz w:val="26"/>
    </w:rPr>
  </w:style>
  <w:style w:styleId="Style_33_ch" w:type="character">
    <w:name w:val="Heading 31"/>
    <w:link w:val="Style_33"/>
    <w:rPr>
      <w:rFonts w:ascii="XO Thames" w:hAnsi="XO Thames"/>
      <w:b w:val="1"/>
      <w:sz w:val="26"/>
    </w:rPr>
  </w:style>
  <w:style w:styleId="Style_34" w:type="paragraph">
    <w:name w:val="heading 5"/>
    <w:next w:val="Style_1"/>
    <w:link w:val="Style_34_ch"/>
    <w:uiPriority w:val="9"/>
    <w:qFormat/>
    <w:pPr>
      <w:ind/>
      <w:outlineLvl w:val="4"/>
    </w:pPr>
    <w:rPr>
      <w:rFonts w:ascii="XO Thames" w:hAnsi="XO Thames"/>
      <w:b w:val="1"/>
    </w:rPr>
  </w:style>
  <w:style w:styleId="Style_34_ch" w:type="character">
    <w:name w:val="heading 5"/>
    <w:link w:val="Style_34"/>
    <w:rPr>
      <w:rFonts w:ascii="XO Thames" w:hAnsi="XO Thames"/>
      <w:b w:val="1"/>
    </w:rPr>
  </w:style>
  <w:style w:styleId="Style_35" w:type="paragraph">
    <w:name w:val="Contents 91"/>
    <w:link w:val="Style_35_ch"/>
    <w:rPr>
      <w:rFonts w:ascii="XO Thames" w:hAnsi="XO Thames"/>
      <w:sz w:val="28"/>
    </w:rPr>
  </w:style>
  <w:style w:styleId="Style_35_ch" w:type="character">
    <w:name w:val="Contents 91"/>
    <w:link w:val="Style_35"/>
    <w:rPr>
      <w:rFonts w:ascii="XO Thames" w:hAnsi="XO Thames"/>
      <w:sz w:val="28"/>
    </w:rPr>
  </w:style>
  <w:style w:styleId="Style_36" w:type="paragraph">
    <w:name w:val="index heading"/>
    <w:basedOn w:val="Style_1"/>
    <w:link w:val="Style_36_ch"/>
  </w:style>
  <w:style w:styleId="Style_36_ch" w:type="character">
    <w:name w:val="index heading"/>
    <w:basedOn w:val="Style_1_ch"/>
    <w:link w:val="Style_36"/>
  </w:style>
  <w:style w:styleId="Style_37" w:type="paragraph">
    <w:name w:val="List"/>
    <w:basedOn w:val="Style_38"/>
    <w:link w:val="Style_37_ch"/>
  </w:style>
  <w:style w:styleId="Style_37_ch" w:type="character">
    <w:name w:val="List"/>
    <w:basedOn w:val="Style_38_ch"/>
    <w:link w:val="Style_37"/>
  </w:style>
  <w:style w:styleId="Style_39" w:type="paragraph">
    <w:name w:val="heading 1"/>
    <w:next w:val="Style_1"/>
    <w:link w:val="Style_39_ch"/>
    <w:uiPriority w:val="9"/>
    <w:qFormat/>
    <w:pPr>
      <w:ind/>
      <w:outlineLvl w:val="0"/>
    </w:pPr>
    <w:rPr>
      <w:rFonts w:ascii="XO Thames" w:hAnsi="XO Thames"/>
      <w:b w:val="1"/>
      <w:sz w:val="32"/>
    </w:rPr>
  </w:style>
  <w:style w:styleId="Style_39_ch" w:type="character">
    <w:name w:val="heading 1"/>
    <w:link w:val="Style_39"/>
    <w:rPr>
      <w:rFonts w:ascii="XO Thames" w:hAnsi="XO Thames"/>
      <w:b w:val="1"/>
      <w:sz w:val="32"/>
    </w:rPr>
  </w:style>
  <w:style w:styleId="Style_40" w:type="paragraph">
    <w:name w:val="Text body"/>
    <w:link w:val="Style_40_ch"/>
  </w:style>
  <w:style w:styleId="Style_40_ch" w:type="character">
    <w:name w:val="Text body"/>
    <w:link w:val="Style_40"/>
  </w:style>
  <w:style w:styleId="Style_41" w:type="paragraph">
    <w:name w:val="Default Paragraph Font1"/>
    <w:link w:val="Style_41_ch"/>
    <w:pPr>
      <w:spacing w:after="160" w:line="264" w:lineRule="auto"/>
      <w:ind/>
    </w:pPr>
  </w:style>
  <w:style w:styleId="Style_41_ch" w:type="character">
    <w:name w:val="Default Paragraph Font1"/>
    <w:link w:val="Style_41"/>
  </w:style>
  <w:style w:styleId="Style_42" w:type="paragraph">
    <w:name w:val="Hyperlink"/>
    <w:link w:val="Style_42_ch"/>
    <w:rPr>
      <w:color w:val="0000FF"/>
      <w:u w:val="single"/>
    </w:rPr>
  </w:style>
  <w:style w:styleId="Style_42_ch" w:type="character">
    <w:name w:val="Hyperlink"/>
    <w:link w:val="Style_42"/>
    <w:rPr>
      <w:color w:val="0000FF"/>
      <w:u w:val="single"/>
    </w:rPr>
  </w:style>
  <w:style w:styleId="Style_43" w:type="paragraph">
    <w:name w:val="Footnote"/>
    <w:link w:val="Style_43_ch"/>
    <w:pPr>
      <w:ind w:firstLine="851" w:left="0"/>
      <w:jc w:val="both"/>
    </w:pPr>
    <w:rPr>
      <w:rFonts w:ascii="XO Thames" w:hAnsi="XO Thames"/>
    </w:rPr>
  </w:style>
  <w:style w:styleId="Style_43_ch" w:type="character">
    <w:name w:val="Footnote"/>
    <w:link w:val="Style_43"/>
    <w:rPr>
      <w:rFonts w:ascii="XO Thames" w:hAnsi="XO Thames"/>
    </w:rPr>
  </w:style>
  <w:style w:styleId="Style_44" w:type="paragraph">
    <w:name w:val="toc 1"/>
    <w:next w:val="Style_1"/>
    <w:link w:val="Style_44_ch"/>
    <w:uiPriority w:val="39"/>
    <w:pPr>
      <w:spacing w:after="160" w:line="264" w:lineRule="auto"/>
      <w:ind/>
    </w:pPr>
    <w:rPr>
      <w:rFonts w:ascii="XO Thames" w:hAnsi="XO Thames"/>
      <w:b w:val="1"/>
      <w:sz w:val="28"/>
    </w:rPr>
  </w:style>
  <w:style w:styleId="Style_44_ch" w:type="character">
    <w:name w:val="toc 1"/>
    <w:link w:val="Style_44"/>
    <w:rPr>
      <w:rFonts w:ascii="XO Thames" w:hAnsi="XO Thames"/>
      <w:b w:val="1"/>
      <w:sz w:val="28"/>
    </w:rPr>
  </w:style>
  <w:style w:styleId="Style_45" w:type="paragraph">
    <w:name w:val="Header and Footer"/>
    <w:link w:val="Style_45_ch"/>
    <w:rPr>
      <w:rFonts w:ascii="XO Thames" w:hAnsi="XO Thames"/>
      <w:sz w:val="20"/>
    </w:rPr>
  </w:style>
  <w:style w:styleId="Style_45_ch" w:type="character">
    <w:name w:val="Header and Footer"/>
    <w:link w:val="Style_45"/>
    <w:rPr>
      <w:rFonts w:ascii="XO Thames" w:hAnsi="XO Thames"/>
      <w:sz w:val="20"/>
    </w:rPr>
  </w:style>
  <w:style w:styleId="Style_46" w:type="paragraph">
    <w:name w:val="Caption1"/>
    <w:link w:val="Style_46_ch"/>
    <w:rPr>
      <w:i w:val="1"/>
      <w:sz w:val="24"/>
    </w:rPr>
  </w:style>
  <w:style w:styleId="Style_46_ch" w:type="character">
    <w:name w:val="Caption1"/>
    <w:link w:val="Style_46"/>
    <w:rPr>
      <w:i w:val="1"/>
      <w:sz w:val="24"/>
    </w:rPr>
  </w:style>
  <w:style w:styleId="Style_47" w:type="paragraph">
    <w:name w:val="Default Paragraph Font"/>
    <w:link w:val="Style_47_ch"/>
  </w:style>
  <w:style w:styleId="Style_47_ch" w:type="character">
    <w:name w:val="Default Paragraph Font"/>
    <w:link w:val="Style_47"/>
  </w:style>
  <w:style w:styleId="Style_48" w:type="paragraph">
    <w:name w:val="toc 9"/>
    <w:next w:val="Style_1"/>
    <w:link w:val="Style_48_ch"/>
    <w:uiPriority w:val="39"/>
    <w:pPr>
      <w:spacing w:after="160" w:line="264" w:lineRule="auto"/>
      <w:ind w:firstLine="0" w:left="1600"/>
    </w:pPr>
    <w:rPr>
      <w:rFonts w:ascii="XO Thames" w:hAnsi="XO Thames"/>
      <w:sz w:val="28"/>
    </w:rPr>
  </w:style>
  <w:style w:styleId="Style_48_ch" w:type="character">
    <w:name w:val="toc 9"/>
    <w:link w:val="Style_48"/>
    <w:rPr>
      <w:rFonts w:ascii="XO Thames" w:hAnsi="XO Thames"/>
      <w:sz w:val="28"/>
    </w:rPr>
  </w:style>
  <w:style w:styleId="Style_49" w:type="paragraph">
    <w:name w:val="List1"/>
    <w:basedOn w:val="Style_40"/>
    <w:link w:val="Style_49_ch"/>
  </w:style>
  <w:style w:styleId="Style_49_ch" w:type="character">
    <w:name w:val="List1"/>
    <w:basedOn w:val="Style_40_ch"/>
    <w:link w:val="Style_49"/>
  </w:style>
  <w:style w:styleId="Style_50" w:type="paragraph">
    <w:name w:val="Заголовок1"/>
    <w:basedOn w:val="Style_1"/>
    <w:next w:val="Style_38"/>
    <w:link w:val="Style_50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50_ch" w:type="character">
    <w:name w:val="Заголовок1"/>
    <w:basedOn w:val="Style_1_ch"/>
    <w:link w:val="Style_50"/>
    <w:rPr>
      <w:rFonts w:ascii="Liberation Sans" w:hAnsi="Liberation Sans"/>
      <w:sz w:val="28"/>
    </w:rPr>
  </w:style>
  <w:style w:styleId="Style_51" w:type="paragraph">
    <w:name w:val="Balloon Text1"/>
    <w:basedOn w:val="Style_1"/>
    <w:link w:val="Style_51_ch"/>
    <w:pPr>
      <w:spacing w:after="0" w:line="240" w:lineRule="auto"/>
      <w:ind/>
    </w:pPr>
    <w:rPr>
      <w:rFonts w:ascii="Segoe UI" w:hAnsi="Segoe UI"/>
      <w:sz w:val="18"/>
    </w:rPr>
  </w:style>
  <w:style w:styleId="Style_51_ch" w:type="character">
    <w:name w:val="Balloon Text1"/>
    <w:basedOn w:val="Style_1_ch"/>
    <w:link w:val="Style_51"/>
    <w:rPr>
      <w:rFonts w:ascii="Segoe UI" w:hAnsi="Segoe UI"/>
      <w:sz w:val="18"/>
    </w:rPr>
  </w:style>
  <w:style w:styleId="Style_52" w:type="paragraph">
    <w:name w:val="toc 8"/>
    <w:next w:val="Style_1"/>
    <w:link w:val="Style_52_ch"/>
    <w:uiPriority w:val="39"/>
    <w:pPr>
      <w:spacing w:after="160" w:line="264" w:lineRule="auto"/>
      <w:ind w:firstLine="0" w:left="1400"/>
    </w:pPr>
    <w:rPr>
      <w:rFonts w:ascii="XO Thames" w:hAnsi="XO Thames"/>
      <w:sz w:val="28"/>
    </w:rPr>
  </w:style>
  <w:style w:styleId="Style_52_ch" w:type="character">
    <w:name w:val="toc 8"/>
    <w:link w:val="Style_52"/>
    <w:rPr>
      <w:rFonts w:ascii="XO Thames" w:hAnsi="XO Thames"/>
      <w:sz w:val="28"/>
    </w:rPr>
  </w:style>
  <w:style w:styleId="Style_53" w:type="paragraph">
    <w:name w:val="Заголовок таблицы1"/>
    <w:basedOn w:val="Style_24"/>
    <w:link w:val="Style_53_ch"/>
    <w:pPr>
      <w:ind/>
      <w:jc w:val="center"/>
    </w:pPr>
    <w:rPr>
      <w:b w:val="1"/>
    </w:rPr>
  </w:style>
  <w:style w:styleId="Style_53_ch" w:type="character">
    <w:name w:val="Заголовок таблицы1"/>
    <w:basedOn w:val="Style_24_ch"/>
    <w:link w:val="Style_53"/>
    <w:rPr>
      <w:b w:val="1"/>
    </w:rPr>
  </w:style>
  <w:style w:styleId="Style_54" w:type="paragraph">
    <w:name w:val="Содержимое врезки2"/>
    <w:basedOn w:val="Style_1"/>
    <w:link w:val="Style_54_ch"/>
  </w:style>
  <w:style w:styleId="Style_54_ch" w:type="character">
    <w:name w:val="Содержимое врезки2"/>
    <w:basedOn w:val="Style_1_ch"/>
    <w:link w:val="Style_54"/>
  </w:style>
  <w:style w:styleId="Style_55" w:type="paragraph">
    <w:name w:val="Колонтитул"/>
    <w:basedOn w:val="Style_1"/>
    <w:link w:val="Style_55_ch"/>
  </w:style>
  <w:style w:styleId="Style_55_ch" w:type="character">
    <w:name w:val="Колонтитул"/>
    <w:basedOn w:val="Style_1_ch"/>
    <w:link w:val="Style_55"/>
  </w:style>
  <w:style w:styleId="Style_2" w:type="paragraph">
    <w:name w:val="header"/>
    <w:link w:val="Style_2_ch"/>
  </w:style>
  <w:style w:styleId="Style_2_ch" w:type="character">
    <w:name w:val="header"/>
    <w:link w:val="Style_2"/>
  </w:style>
  <w:style w:styleId="Style_56" w:type="paragraph">
    <w:name w:val="Обычный1"/>
    <w:link w:val="Style_56_ch"/>
    <w:rPr>
      <w:rFonts w:asciiTheme="minorAscii" w:hAnsiTheme="minorHAnsi"/>
      <w:color w:val="000000"/>
      <w:spacing w:val="0"/>
      <w:sz w:val="22"/>
    </w:rPr>
  </w:style>
  <w:style w:styleId="Style_56_ch" w:type="character">
    <w:name w:val="Обычный1"/>
    <w:link w:val="Style_56"/>
    <w:rPr>
      <w:rFonts w:asciiTheme="minorAscii" w:hAnsiTheme="minorHAnsi"/>
      <w:color w:val="000000"/>
      <w:spacing w:val="0"/>
      <w:sz w:val="22"/>
    </w:rPr>
  </w:style>
  <w:style w:styleId="Style_57" w:type="paragraph">
    <w:name w:val="toc 5"/>
    <w:next w:val="Style_1"/>
    <w:link w:val="Style_57_ch"/>
    <w:uiPriority w:val="39"/>
    <w:pPr>
      <w:spacing w:after="160" w:line="264" w:lineRule="auto"/>
      <w:ind w:firstLine="0" w:left="800"/>
    </w:pPr>
    <w:rPr>
      <w:rFonts w:ascii="XO Thames" w:hAnsi="XO Thames"/>
      <w:sz w:val="28"/>
    </w:rPr>
  </w:style>
  <w:style w:styleId="Style_57_ch" w:type="character">
    <w:name w:val="toc 5"/>
    <w:link w:val="Style_57"/>
    <w:rPr>
      <w:rFonts w:ascii="XO Thames" w:hAnsi="XO Thames"/>
      <w:sz w:val="28"/>
    </w:rPr>
  </w:style>
  <w:style w:styleId="Style_58" w:type="paragraph">
    <w:name w:val="Указатель1"/>
    <w:basedOn w:val="Style_1"/>
    <w:link w:val="Style_58_ch"/>
  </w:style>
  <w:style w:styleId="Style_58_ch" w:type="character">
    <w:name w:val="Указатель1"/>
    <w:basedOn w:val="Style_1_ch"/>
    <w:link w:val="Style_58"/>
  </w:style>
  <w:style w:styleId="Style_59" w:type="paragraph">
    <w:name w:val="Heading 51"/>
    <w:link w:val="Style_59_ch"/>
    <w:rPr>
      <w:rFonts w:ascii="XO Thames" w:hAnsi="XO Thames"/>
      <w:b w:val="1"/>
    </w:rPr>
  </w:style>
  <w:style w:styleId="Style_59_ch" w:type="character">
    <w:name w:val="Heading 51"/>
    <w:link w:val="Style_59"/>
    <w:rPr>
      <w:rFonts w:ascii="XO Thames" w:hAnsi="XO Thames"/>
      <w:b w:val="1"/>
    </w:rPr>
  </w:style>
  <w:style w:styleId="Style_60" w:type="paragraph">
    <w:name w:val="Обычный11"/>
    <w:link w:val="Style_60_ch"/>
    <w:pPr>
      <w:spacing w:after="160" w:line="264" w:lineRule="auto"/>
      <w:ind/>
    </w:pPr>
  </w:style>
  <w:style w:styleId="Style_60_ch" w:type="character">
    <w:name w:val="Обычный11"/>
    <w:link w:val="Style_60"/>
  </w:style>
  <w:style w:styleId="Style_61" w:type="paragraph">
    <w:name w:val="Заголовок11"/>
    <w:basedOn w:val="Style_1"/>
    <w:next w:val="Style_38"/>
    <w:link w:val="Style_61_ch"/>
    <w:pPr>
      <w:keepNext w:val="1"/>
      <w:spacing w:after="120" w:before="240"/>
      <w:ind/>
    </w:pPr>
    <w:rPr>
      <w:rFonts w:ascii="Open Sans" w:hAnsi="Open Sans"/>
      <w:sz w:val="28"/>
    </w:rPr>
  </w:style>
  <w:style w:styleId="Style_61_ch" w:type="character">
    <w:name w:val="Заголовок11"/>
    <w:basedOn w:val="Style_1_ch"/>
    <w:link w:val="Style_61"/>
    <w:rPr>
      <w:rFonts w:ascii="Open Sans" w:hAnsi="Open Sans"/>
      <w:sz w:val="28"/>
    </w:rPr>
  </w:style>
  <w:style w:styleId="Style_62" w:type="paragraph">
    <w:name w:val="Subtitle"/>
    <w:next w:val="Style_1"/>
    <w:link w:val="Style_62_ch"/>
    <w:uiPriority w:val="11"/>
    <w:qFormat/>
    <w:rPr>
      <w:rFonts w:ascii="XO Thames" w:hAnsi="XO Thames"/>
      <w:i w:val="1"/>
      <w:sz w:val="24"/>
    </w:rPr>
  </w:style>
  <w:style w:styleId="Style_62_ch" w:type="character">
    <w:name w:val="Subtitle"/>
    <w:link w:val="Style_62"/>
    <w:rPr>
      <w:rFonts w:ascii="XO Thames" w:hAnsi="XO Thames"/>
      <w:i w:val="1"/>
      <w:sz w:val="24"/>
    </w:rPr>
  </w:style>
  <w:style w:styleId="Style_63" w:type="paragraph">
    <w:name w:val="Subtitle1"/>
    <w:link w:val="Style_63_ch"/>
    <w:rPr>
      <w:rFonts w:ascii="XO Thames" w:hAnsi="XO Thames"/>
      <w:i w:val="1"/>
      <w:sz w:val="24"/>
    </w:rPr>
  </w:style>
  <w:style w:styleId="Style_63_ch" w:type="character">
    <w:name w:val="Subtitle1"/>
    <w:link w:val="Style_63"/>
    <w:rPr>
      <w:rFonts w:ascii="XO Thames" w:hAnsi="XO Thames"/>
      <w:i w:val="1"/>
      <w:sz w:val="24"/>
    </w:rPr>
  </w:style>
  <w:style w:styleId="Style_64" w:type="paragraph">
    <w:name w:val="Title"/>
    <w:next w:val="Style_1"/>
    <w:link w:val="Style_64_ch"/>
    <w:uiPriority w:val="10"/>
    <w:qFormat/>
    <w:rPr>
      <w:rFonts w:ascii="XO Thames" w:hAnsi="XO Thames"/>
      <w:b w:val="1"/>
      <w:caps w:val="1"/>
      <w:sz w:val="40"/>
    </w:rPr>
  </w:style>
  <w:style w:styleId="Style_64_ch" w:type="character">
    <w:name w:val="Title"/>
    <w:link w:val="Style_64"/>
    <w:rPr>
      <w:rFonts w:ascii="XO Thames" w:hAnsi="XO Thames"/>
      <w:b w:val="1"/>
      <w:caps w:val="1"/>
      <w:sz w:val="40"/>
    </w:rPr>
  </w:style>
  <w:style w:styleId="Style_65" w:type="paragraph">
    <w:name w:val="heading 4"/>
    <w:next w:val="Style_1"/>
    <w:link w:val="Style_65_ch"/>
    <w:uiPriority w:val="9"/>
    <w:qFormat/>
    <w:pPr>
      <w:spacing w:after="120" w:before="120" w:line="264" w:lineRule="auto"/>
      <w:ind/>
      <w:jc w:val="both"/>
      <w:outlineLvl w:val="3"/>
    </w:pPr>
    <w:rPr>
      <w:rFonts w:ascii="XO Thames" w:hAnsi="XO Thames"/>
      <w:b w:val="1"/>
      <w:sz w:val="24"/>
    </w:rPr>
  </w:style>
  <w:style w:styleId="Style_65_ch" w:type="character">
    <w:name w:val="heading 4"/>
    <w:link w:val="Style_65"/>
    <w:rPr>
      <w:rFonts w:ascii="XO Thames" w:hAnsi="XO Thames"/>
      <w:b w:val="1"/>
      <w:sz w:val="24"/>
    </w:rPr>
  </w:style>
  <w:style w:styleId="Style_66" w:type="paragraph">
    <w:name w:val="Internet link1"/>
    <w:link w:val="Style_66_ch"/>
    <w:rPr>
      <w:rFonts w:ascii="Calibri" w:hAnsi="Calibri"/>
      <w:color w:val="0000FF"/>
      <w:u w:val="single"/>
    </w:rPr>
  </w:style>
  <w:style w:styleId="Style_66_ch" w:type="character">
    <w:name w:val="Internet link1"/>
    <w:link w:val="Style_66"/>
    <w:rPr>
      <w:rFonts w:ascii="Calibri" w:hAnsi="Calibri"/>
      <w:color w:val="0000FF"/>
      <w:u w:val="single"/>
    </w:rPr>
  </w:style>
  <w:style w:styleId="Style_67" w:type="paragraph">
    <w:name w:val="Contents 61"/>
    <w:link w:val="Style_67_ch"/>
    <w:rPr>
      <w:rFonts w:ascii="XO Thames" w:hAnsi="XO Thames"/>
      <w:sz w:val="28"/>
    </w:rPr>
  </w:style>
  <w:style w:styleId="Style_67_ch" w:type="character">
    <w:name w:val="Contents 61"/>
    <w:link w:val="Style_67"/>
    <w:rPr>
      <w:rFonts w:ascii="XO Thames" w:hAnsi="XO Thames"/>
      <w:sz w:val="28"/>
    </w:rPr>
  </w:style>
  <w:style w:styleId="Style_38" w:type="paragraph">
    <w:name w:val="Body Text"/>
    <w:basedOn w:val="Style_1"/>
    <w:link w:val="Style_38_ch"/>
    <w:pPr>
      <w:spacing w:after="140" w:line="276" w:lineRule="auto"/>
      <w:ind/>
    </w:pPr>
  </w:style>
  <w:style w:styleId="Style_38_ch" w:type="character">
    <w:name w:val="Body Text"/>
    <w:basedOn w:val="Style_1_ch"/>
    <w:link w:val="Style_38"/>
  </w:style>
  <w:style w:styleId="Style_68" w:type="paragraph">
    <w:name w:val="Contents 21"/>
    <w:link w:val="Style_68_ch"/>
    <w:rPr>
      <w:rFonts w:ascii="XO Thames" w:hAnsi="XO Thames"/>
      <w:sz w:val="28"/>
    </w:rPr>
  </w:style>
  <w:style w:styleId="Style_68_ch" w:type="character">
    <w:name w:val="Contents 21"/>
    <w:link w:val="Style_68"/>
    <w:rPr>
      <w:rFonts w:ascii="XO Thames" w:hAnsi="XO Thames"/>
      <w:sz w:val="28"/>
    </w:rPr>
  </w:style>
  <w:style w:styleId="Style_69" w:type="paragraph">
    <w:name w:val="heading 2"/>
    <w:next w:val="Style_1"/>
    <w:link w:val="Style_69_ch"/>
    <w:uiPriority w:val="9"/>
    <w:qFormat/>
    <w:pPr>
      <w:spacing w:after="120" w:before="120" w:line="264" w:lineRule="auto"/>
      <w:ind/>
      <w:jc w:val="both"/>
      <w:outlineLvl w:val="1"/>
    </w:pPr>
    <w:rPr>
      <w:rFonts w:ascii="XO Thames" w:hAnsi="XO Thames"/>
      <w:b w:val="1"/>
      <w:sz w:val="28"/>
    </w:rPr>
  </w:style>
  <w:style w:styleId="Style_69_ch" w:type="character">
    <w:name w:val="heading 2"/>
    <w:link w:val="Style_69"/>
    <w:rPr>
      <w:rFonts w:ascii="XO Thames" w:hAnsi="XO Thames"/>
      <w:b w:val="1"/>
      <w:sz w:val="28"/>
    </w:rPr>
  </w:style>
  <w:style w:styleId="Style_70" w:type="paragraph">
    <w:name w:val="Contents 71"/>
    <w:link w:val="Style_70_ch"/>
    <w:rPr>
      <w:rFonts w:ascii="XO Thames" w:hAnsi="XO Thames"/>
      <w:sz w:val="28"/>
    </w:rPr>
  </w:style>
  <w:style w:styleId="Style_70_ch" w:type="character">
    <w:name w:val="Contents 71"/>
    <w:link w:val="Style_70"/>
    <w:rPr>
      <w:rFonts w:ascii="XO Thames" w:hAnsi="XO Thames"/>
      <w:sz w:val="28"/>
    </w:rPr>
  </w:style>
  <w:style w:styleId="Style_71" w:type="paragraph">
    <w:name w:val="Заголовок"/>
    <w:basedOn w:val="Style_1"/>
    <w:next w:val="Style_38"/>
    <w:link w:val="Style_71_ch"/>
    <w:pPr>
      <w:keepNext w:val="1"/>
      <w:spacing w:after="120" w:before="240"/>
      <w:ind/>
    </w:pPr>
    <w:rPr>
      <w:rFonts w:ascii="Open Sans" w:hAnsi="Open Sans"/>
      <w:sz w:val="28"/>
    </w:rPr>
  </w:style>
  <w:style w:styleId="Style_71_ch" w:type="character">
    <w:name w:val="Заголовок"/>
    <w:basedOn w:val="Style_1_ch"/>
    <w:link w:val="Style_71"/>
    <w:rPr>
      <w:rFonts w:ascii="Open Sans" w:hAnsi="Open Sans"/>
      <w:sz w:val="28"/>
    </w:rPr>
  </w:style>
  <w:style w:styleId="Style_72" w:type="paragraph">
    <w:name w:val="Содержимое врезки1"/>
    <w:basedOn w:val="Style_1"/>
    <w:link w:val="Style_72_ch"/>
  </w:style>
  <w:style w:styleId="Style_72_ch" w:type="character">
    <w:name w:val="Содержимое врезки1"/>
    <w:basedOn w:val="Style_1_ch"/>
    <w:link w:val="Style_72"/>
  </w:style>
  <w:style w:styleId="Style_73" w:type="paragraph">
    <w:name w:val="Heading 21"/>
    <w:link w:val="Style_73_ch"/>
    <w:rPr>
      <w:rFonts w:ascii="XO Thames" w:hAnsi="XO Thames"/>
      <w:b w:val="1"/>
      <w:sz w:val="28"/>
    </w:rPr>
  </w:style>
  <w:style w:styleId="Style_73_ch" w:type="character">
    <w:name w:val="Heading 21"/>
    <w:link w:val="Style_73"/>
    <w:rPr>
      <w:rFonts w:ascii="XO Thames" w:hAnsi="XO Thames"/>
      <w:b w:val="1"/>
      <w:sz w:val="28"/>
    </w:rPr>
  </w:style>
  <w:style w:default="1" w:styleId="Style_3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styleId="Style_4" w:type="table">
    <w:name w:val="Table Grid"/>
    <w:basedOn w:val="Style_3"/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styleId="Style_74" w:type="table">
    <w:name w:val="Сетка таблицы2"/>
    <w:basedOn w:val="Style_3"/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styleId="Style_75" w:type="table">
    <w:name w:val="Сетка таблицы1"/>
    <w:basedOn w:val="Style_3"/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3" Target="theme/theme1.xml" Type="http://schemas.openxmlformats.org/officeDocument/2006/relationships/theme"/>
  <Relationship Id="rId11" Target="stylesWithEffects.xml" Type="http://schemas.microsoft.com/office/2007/relationships/stylesWithEffects"/>
  <Relationship Id="rId10" Target="styles.xml" Type="http://schemas.openxmlformats.org/officeDocument/2006/relationships/styles"/>
  <Relationship Id="rId9" Target="settings.xml" Type="http://schemas.openxmlformats.org/officeDocument/2006/relationships/settings"/>
  <Relationship Id="rId8" Target="fontTable.xml" Type="http://schemas.openxmlformats.org/officeDocument/2006/relationships/fontTable"/>
  <Relationship Id="rId7" Target="media/5.jpeg" Type="http://schemas.openxmlformats.org/officeDocument/2006/relationships/image"/>
  <Relationship Id="rId6" Target="media/4.jpeg" Type="http://schemas.openxmlformats.org/officeDocument/2006/relationships/image"/>
  <Relationship Id="rId5" Target="media/3.jpeg" Type="http://schemas.openxmlformats.org/officeDocument/2006/relationships/image"/>
  <Relationship Id="rId4" Target="media/2.jpeg" Type="http://schemas.openxmlformats.org/officeDocument/2006/relationships/image"/>
  <Relationship Id="rId12" Target="webSettings.xml" Type="http://schemas.openxmlformats.org/officeDocument/2006/relationships/webSettings"/>
  <Relationship Id="rId3" Target="media/1.jpeg" Type="http://schemas.openxmlformats.org/officeDocument/2006/relationships/image"/>
  <Relationship Id="rId2" Target="header2.xml" Type="http://schemas.openxmlformats.org/officeDocument/2006/relationships/header"/>
  <Relationship Id="rId1" Target="header1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"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</a:gradFill>
      </a:fillStyleLst>
      <a:lnStyleLst>
        <a:ln w="6350">
          <a:prstDash val="solid"/>
        </a:ln>
        <a:ln w="12700">
          <a:prstDash val="solid"/>
        </a:ln>
        <a:ln w="19050"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MyOffice-CoreFramework-Linux/28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2024-02-19T02:15:56Z</dcterms:modified>
</cp:coreProperties>
</file>