
<file path=[Content_Types].xml><?xml version="1.0" encoding="utf-8"?>
<Types xmlns="http://schemas.openxmlformats.org/package/2006/content-types">
  <Default ContentType="image/png" Extension="png"/>
  <Default ContentType="application/vnd.openxmlformats-package.relationships+xml" Extension="rels"/>
  <Default ContentType="application/xml" Extension="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header+xml" PartName="/word/header1.xml"/>
  <Override ContentType="application/vnd.openxmlformats-officedocument.wordprocessingml.numbering+xml" PartName="/word/numbering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3" Target="docProps/core.xml" Type="http://schemas.openxmlformats.org/package/2006/relationships/metadata/core-properties"/>
  <Relationship Id="rId2" Target="docProps/app.xml" Type="http://schemas.openxmlformats.org/officeDocument/2006/relationships/extended-properties"/>
  <Relationship Id="rId1" Target="word/document.xml" Type="http://schemas.openxmlformats.org/officeDocument/2006/relationships/officeDocument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3000000">
      <w:pPr>
        <w:ind w:firstLine="0" w:left="5103"/>
      </w:pPr>
      <w:r>
        <w:t>Приложение № 2</w:t>
      </w:r>
    </w:p>
    <w:p w14:paraId="04000000">
      <w:pPr>
        <w:ind w:firstLine="0" w:left="5103"/>
      </w:pPr>
      <w:r>
        <w:t>к приказу Министерства природных</w:t>
      </w:r>
    </w:p>
    <w:p w14:paraId="05000000">
      <w:pPr>
        <w:ind w:firstLine="0" w:left="5103"/>
      </w:pPr>
      <w:r>
        <w:t>ресурсов и экологии Камчатского края</w:t>
      </w:r>
    </w:p>
    <w:p w14:paraId="06000000">
      <w:pPr>
        <w:tabs>
          <w:tab w:leader="none" w:pos="5103" w:val="left"/>
        </w:tabs>
        <w:ind w:firstLine="0" w:left="5103"/>
        <w:jc w:val="both"/>
      </w:pPr>
      <w:r>
        <w:t>от</w:t>
      </w:r>
      <w:r>
        <w:t xml:space="preserve"> </w:t>
      </w:r>
      <w:r>
        <w:t>[</w:t>
      </w:r>
      <w:r>
        <w:t>19.12.2023</w:t>
      </w:r>
      <w:r>
        <w:t>]</w:t>
      </w:r>
      <w:r>
        <w:t xml:space="preserve"> </w:t>
      </w:r>
      <w:r>
        <w:t>№</w:t>
      </w:r>
      <w:r>
        <w:t xml:space="preserve"> </w:t>
      </w:r>
      <w:r>
        <w:t>[</w:t>
      </w:r>
      <w:r>
        <w:t>442-П</w:t>
      </w:r>
      <w:r>
        <w:t>]</w:t>
      </w:r>
    </w:p>
    <w:p w14:paraId="07000000">
      <w:pPr>
        <w:ind w:firstLine="284" w:left="5103"/>
      </w:pPr>
    </w:p>
    <w:p w14:paraId="08000000">
      <w:pPr>
        <w:pStyle w:val="Style_2"/>
        <w:widowControl w:val="1"/>
        <w:ind w:right="-284"/>
        <w:jc w:val="center"/>
        <w:rPr>
          <w:rFonts w:ascii="Times New Roman" w:hAnsi="Times New Roman"/>
          <w:b w:val="0"/>
          <w:sz w:val="28"/>
        </w:rPr>
      </w:pPr>
      <w:r>
        <w:rPr>
          <w:rFonts w:ascii="Times New Roman" w:hAnsi="Times New Roman"/>
          <w:b w:val="0"/>
          <w:sz w:val="28"/>
        </w:rPr>
        <w:t xml:space="preserve">Порядок и условия проведения </w:t>
      </w:r>
      <w:r>
        <w:rPr>
          <w:rFonts w:ascii="Times New Roman" w:hAnsi="Times New Roman"/>
          <w:b w:val="0"/>
          <w:sz w:val="28"/>
        </w:rPr>
        <w:t xml:space="preserve">электронного </w:t>
      </w:r>
      <w:r>
        <w:rPr>
          <w:rFonts w:ascii="Times New Roman" w:hAnsi="Times New Roman"/>
          <w:b w:val="0"/>
          <w:sz w:val="28"/>
        </w:rPr>
        <w:t>аукциона</w:t>
      </w:r>
      <w:r>
        <w:rPr>
          <w:rFonts w:ascii="Times New Roman" w:hAnsi="Times New Roman"/>
          <w:b w:val="0"/>
          <w:sz w:val="28"/>
        </w:rPr>
        <w:t xml:space="preserve"> </w:t>
      </w:r>
      <w:r>
        <w:rPr>
          <w:rFonts w:ascii="Times New Roman" w:hAnsi="Times New Roman"/>
          <w:b w:val="0"/>
          <w:sz w:val="28"/>
        </w:rPr>
        <w:t>на право пользования участк</w:t>
      </w:r>
      <w:r>
        <w:rPr>
          <w:rFonts w:ascii="Times New Roman" w:hAnsi="Times New Roman"/>
          <w:b w:val="0"/>
          <w:sz w:val="28"/>
        </w:rPr>
        <w:t>ами</w:t>
      </w:r>
      <w:r>
        <w:rPr>
          <w:rFonts w:ascii="Times New Roman" w:hAnsi="Times New Roman"/>
          <w:b w:val="0"/>
          <w:sz w:val="28"/>
        </w:rPr>
        <w:t xml:space="preserve"> недр местного значения «</w:t>
      </w:r>
      <w:r>
        <w:rPr>
          <w:rFonts w:ascii="Times New Roman" w:hAnsi="Times New Roman"/>
          <w:b w:val="0"/>
          <w:sz w:val="28"/>
        </w:rPr>
        <w:t>Сопка Лысая-1</w:t>
      </w:r>
      <w:r>
        <w:rPr>
          <w:rFonts w:ascii="Times New Roman" w:hAnsi="Times New Roman"/>
          <w:b w:val="0"/>
          <w:sz w:val="28"/>
        </w:rPr>
        <w:t>»</w:t>
      </w:r>
      <w:r>
        <w:rPr>
          <w:rFonts w:ascii="Times New Roman" w:hAnsi="Times New Roman"/>
          <w:b w:val="0"/>
          <w:sz w:val="28"/>
        </w:rPr>
        <w:t xml:space="preserve"> и «Сопка Лысая-2» </w:t>
      </w:r>
      <w:r>
        <w:rPr>
          <w:rFonts w:ascii="Times New Roman" w:hAnsi="Times New Roman"/>
          <w:b w:val="0"/>
          <w:sz w:val="28"/>
        </w:rPr>
        <w:t xml:space="preserve">месторождения Сопка Лысая </w:t>
      </w:r>
      <w:r>
        <w:rPr>
          <w:rFonts w:ascii="Times New Roman" w:hAnsi="Times New Roman"/>
          <w:b w:val="0"/>
          <w:sz w:val="28"/>
        </w:rPr>
        <w:t xml:space="preserve">с целью разведки и добычи </w:t>
      </w:r>
      <w:r>
        <w:rPr>
          <w:rFonts w:ascii="Times New Roman" w:hAnsi="Times New Roman"/>
          <w:b w:val="0"/>
          <w:sz w:val="28"/>
        </w:rPr>
        <w:t xml:space="preserve">песка </w:t>
      </w:r>
      <w:r>
        <w:rPr>
          <w:rFonts w:ascii="Times New Roman" w:hAnsi="Times New Roman"/>
          <w:b w:val="0"/>
          <w:sz w:val="28"/>
        </w:rPr>
        <w:t xml:space="preserve">строительного </w:t>
      </w:r>
      <w:r>
        <w:rPr>
          <w:rFonts w:ascii="Times New Roman" w:hAnsi="Times New Roman"/>
          <w:b w:val="0"/>
          <w:sz w:val="28"/>
        </w:rPr>
        <w:t>(далее – Порядок и условия проведения аукциона)</w:t>
      </w:r>
    </w:p>
    <w:p w14:paraId="09000000">
      <w:pPr>
        <w:pStyle w:val="Style_2"/>
        <w:widowControl w:val="1"/>
        <w:ind w:right="-284"/>
        <w:jc w:val="center"/>
        <w:rPr>
          <w:rFonts w:ascii="Times New Roman" w:hAnsi="Times New Roman"/>
          <w:b w:val="0"/>
          <w:sz w:val="28"/>
        </w:rPr>
      </w:pPr>
    </w:p>
    <w:p w14:paraId="0A00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Министерство природных ресурсов и экологии Камчатского края (далее – Министерство, организатор аукциона, уполномоченный орган) объявляет электронный аукцион на право пользования </w:t>
      </w:r>
      <w:r>
        <w:rPr>
          <w:spacing w:val="-1"/>
          <w:sz w:val="28"/>
        </w:rPr>
        <w:t>участк</w:t>
      </w:r>
      <w:r>
        <w:rPr>
          <w:spacing w:val="-1"/>
          <w:sz w:val="28"/>
        </w:rPr>
        <w:t>ами</w:t>
      </w:r>
      <w:r>
        <w:rPr>
          <w:spacing w:val="-1"/>
          <w:sz w:val="28"/>
        </w:rPr>
        <w:t xml:space="preserve"> недр местного значения </w:t>
      </w:r>
      <w:r>
        <w:rPr>
          <w:rFonts w:ascii="Times New Roman" w:hAnsi="Times New Roman"/>
          <w:b w:val="0"/>
          <w:sz w:val="28"/>
        </w:rPr>
        <w:t>«</w:t>
      </w:r>
      <w:r>
        <w:rPr>
          <w:rFonts w:ascii="Times New Roman" w:hAnsi="Times New Roman"/>
          <w:b w:val="0"/>
          <w:sz w:val="28"/>
        </w:rPr>
        <w:t>Сопка Лысая-1</w:t>
      </w:r>
      <w:r>
        <w:rPr>
          <w:rFonts w:ascii="Times New Roman" w:hAnsi="Times New Roman"/>
          <w:b w:val="0"/>
          <w:sz w:val="28"/>
        </w:rPr>
        <w:t>»</w:t>
      </w:r>
      <w:r>
        <w:rPr>
          <w:rFonts w:ascii="Times New Roman" w:hAnsi="Times New Roman"/>
          <w:b w:val="0"/>
          <w:sz w:val="28"/>
        </w:rPr>
        <w:t xml:space="preserve"> и «Сопка Лысая-2» </w:t>
      </w:r>
      <w:r>
        <w:rPr>
          <w:rFonts w:ascii="Times New Roman" w:hAnsi="Times New Roman"/>
          <w:b w:val="0"/>
          <w:sz w:val="28"/>
        </w:rPr>
        <w:t xml:space="preserve">месторождения Сопка Лысая </w:t>
      </w:r>
      <w:r>
        <w:rPr>
          <w:rFonts w:ascii="Times New Roman" w:hAnsi="Times New Roman"/>
          <w:b w:val="0"/>
          <w:sz w:val="28"/>
        </w:rPr>
        <w:t xml:space="preserve">с целью разведки и добычи </w:t>
      </w:r>
      <w:r>
        <w:rPr>
          <w:rFonts w:ascii="Times New Roman" w:hAnsi="Times New Roman"/>
          <w:b w:val="0"/>
          <w:sz w:val="28"/>
        </w:rPr>
        <w:t xml:space="preserve">песка </w:t>
      </w:r>
      <w:r>
        <w:rPr>
          <w:rFonts w:ascii="Times New Roman" w:hAnsi="Times New Roman"/>
          <w:b w:val="0"/>
          <w:sz w:val="28"/>
        </w:rPr>
        <w:t>строительного</w:t>
      </w:r>
      <w:r>
        <w:rPr>
          <w:spacing w:val="-1"/>
          <w:sz w:val="28"/>
        </w:rPr>
        <w:t>, расположенным</w:t>
      </w:r>
      <w:r>
        <w:rPr>
          <w:spacing w:val="-1"/>
          <w:sz w:val="28"/>
        </w:rPr>
        <w:t>и</w:t>
      </w:r>
      <w:r>
        <w:rPr>
          <w:spacing w:val="-1"/>
          <w:sz w:val="28"/>
        </w:rPr>
        <w:t xml:space="preserve"> на территории </w:t>
      </w:r>
      <w:r>
        <w:rPr>
          <w:spacing w:val="-1"/>
          <w:sz w:val="28"/>
        </w:rPr>
        <w:t>Елизовского муниципального района</w:t>
      </w:r>
      <w:r>
        <w:rPr>
          <w:spacing w:val="-1"/>
          <w:sz w:val="28"/>
        </w:rPr>
        <w:t xml:space="preserve"> Камчатского края</w:t>
      </w:r>
      <w:r>
        <w:rPr>
          <w:spacing w:val="-1"/>
          <w:sz w:val="28"/>
        </w:rPr>
        <w:t xml:space="preserve"> (далее – аукцион)</w:t>
      </w:r>
      <w:r>
        <w:rPr>
          <w:sz w:val="28"/>
        </w:rPr>
        <w:t>.</w:t>
      </w:r>
    </w:p>
    <w:p w14:paraId="0B000000">
      <w:pPr>
        <w:ind w:firstLine="709" w:left="0"/>
        <w:jc w:val="both"/>
        <w:rPr>
          <w:sz w:val="28"/>
        </w:rPr>
      </w:pPr>
    </w:p>
    <w:p w14:paraId="0C000000">
      <w:pPr>
        <w:ind/>
        <w:jc w:val="center"/>
        <w:rPr>
          <w:sz w:val="28"/>
        </w:rPr>
      </w:pPr>
      <w:r>
        <w:rPr>
          <w:sz w:val="28"/>
        </w:rPr>
        <w:t>Общие положения</w:t>
      </w:r>
    </w:p>
    <w:p w14:paraId="0D000000">
      <w:pPr>
        <w:ind/>
        <w:jc w:val="center"/>
        <w:rPr>
          <w:sz w:val="28"/>
        </w:rPr>
      </w:pPr>
    </w:p>
    <w:p w14:paraId="0E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Объявление о проведении аукциона размещается организатором аукциона </w:t>
      </w:r>
      <w:r>
        <w:rPr>
          <w:sz w:val="28"/>
        </w:rPr>
        <w:t>на официальном сайте Российской Федерации в информационно-</w:t>
      </w:r>
      <w:r>
        <w:rPr>
          <w:sz w:val="28"/>
        </w:rPr>
        <w:t xml:space="preserve">коммуникационной сети «Интернет» для размещения информации о проведении торгов </w:t>
      </w:r>
      <w:r>
        <w:rPr>
          <w:rStyle w:val="Style_4_ch"/>
          <w:sz w:val="28"/>
        </w:rPr>
        <w:fldChar w:fldCharType="begin"/>
      </w:r>
      <w:r>
        <w:rPr>
          <w:rStyle w:val="Style_4_ch"/>
          <w:sz w:val="28"/>
        </w:rPr>
        <w:instrText>HYPERLINK "http://www.torgi.gov.ru"</w:instrText>
      </w:r>
      <w:r>
        <w:rPr>
          <w:rStyle w:val="Style_4_ch"/>
          <w:sz w:val="28"/>
        </w:rPr>
        <w:fldChar w:fldCharType="separate"/>
      </w:r>
      <w:r>
        <w:rPr>
          <w:rStyle w:val="Style_4_ch"/>
          <w:sz w:val="28"/>
        </w:rPr>
        <w:t>www.torgi.gov.ru</w:t>
      </w:r>
      <w:r>
        <w:rPr>
          <w:rStyle w:val="Style_4_ch"/>
          <w:sz w:val="28"/>
        </w:rPr>
        <w:fldChar w:fldCharType="end"/>
      </w:r>
      <w:r>
        <w:rPr>
          <w:sz w:val="28"/>
        </w:rPr>
        <w:t xml:space="preserve"> (далее – официальный сайт)</w:t>
      </w:r>
      <w:r>
        <w:rPr>
          <w:sz w:val="28"/>
        </w:rPr>
        <w:t xml:space="preserve"> одновременно с размещением </w:t>
      </w:r>
      <w:r>
        <w:rPr>
          <w:sz w:val="28"/>
        </w:rPr>
        <w:t xml:space="preserve">на сайте электронной торговой площадки </w:t>
      </w:r>
      <w:r>
        <w:rPr>
          <w:sz w:val="28"/>
        </w:rPr>
        <w:t xml:space="preserve">Газпромбанка в информационно-телекоммуникационной сети «Интернет» </w:t>
      </w:r>
      <w:r>
        <w:rPr>
          <w:rStyle w:val="Style_4_ch"/>
          <w:sz w:val="28"/>
        </w:rPr>
        <w:fldChar w:fldCharType="begin"/>
      </w:r>
      <w:r>
        <w:rPr>
          <w:rStyle w:val="Style_4_ch"/>
          <w:sz w:val="28"/>
        </w:rPr>
        <w:instrText>HYPERLINK "http://www.etpgpb.ru"</w:instrText>
      </w:r>
      <w:r>
        <w:rPr>
          <w:rStyle w:val="Style_4_ch"/>
          <w:sz w:val="28"/>
        </w:rPr>
        <w:fldChar w:fldCharType="separate"/>
      </w:r>
      <w:r>
        <w:rPr>
          <w:rStyle w:val="Style_4_ch"/>
          <w:sz w:val="28"/>
        </w:rPr>
        <w:t>www.etpgpb.ru</w:t>
      </w:r>
      <w:r>
        <w:rPr>
          <w:rStyle w:val="Style_4_ch"/>
          <w:sz w:val="28"/>
        </w:rPr>
        <w:fldChar w:fldCharType="end"/>
      </w:r>
      <w:r>
        <w:rPr>
          <w:sz w:val="28"/>
        </w:rPr>
        <w:t xml:space="preserve"> (далее – электронная площадка) </w:t>
      </w:r>
      <w:r>
        <w:rPr>
          <w:sz w:val="28"/>
        </w:rPr>
        <w:t>н</w:t>
      </w:r>
      <w:r>
        <w:rPr>
          <w:sz w:val="28"/>
        </w:rPr>
        <w:t>е позднее</w:t>
      </w:r>
      <w:r>
        <w:rPr>
          <w:sz w:val="28"/>
        </w:rPr>
        <w:t xml:space="preserve">, чем за 7 рабочих дней до дня принятия решения о предоставлении права пользования недрами по его результатам </w:t>
      </w:r>
      <w:r>
        <w:rPr>
          <w:sz w:val="28"/>
        </w:rPr>
        <w:t>(28.12.2023;</w:t>
      </w:r>
      <w:r>
        <w:rPr>
          <w:color w:val="111111"/>
          <w:sz w:val="28"/>
        </w:rPr>
        <w:t xml:space="preserve"> приказ Минис</w:t>
      </w:r>
      <w:r>
        <w:rPr>
          <w:sz w:val="28"/>
        </w:rPr>
        <w:t>терства от 15.08.2022 № 249-П «Об установлении особенностей осуществления разрешител</w:t>
      </w:r>
      <w:r>
        <w:rPr>
          <w:sz w:val="28"/>
        </w:rPr>
        <w:t>ьной деятельности при пользовании участками недр местного значения, содержащими общераспространенные полезные ископаемые, используемые для целей строительства и расположенными на территории Камчатского края, в 2022 году» (в ред. от 28.03.2023 № 1-Н).</w:t>
      </w:r>
    </w:p>
    <w:p w14:paraId="0F000000">
      <w:pPr>
        <w:pStyle w:val="Style_5"/>
        <w:numPr>
          <w:ilvl w:val="0"/>
          <w:numId w:val="1"/>
        </w:numPr>
        <w:tabs>
          <w:tab w:leader="none" w:pos="993" w:val="left"/>
        </w:tabs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Документооборот между организатором аукциона, членами аукционной комиссии, заявителями и участниками аукциона осуществляется посредством электронной площадки в форме электронных документов, подписанных усиленной квалифицированной электронной подписью указанных субъектов либо лиц, имеющих право действовать от имени заявителя или участника аукциона.</w:t>
      </w:r>
    </w:p>
    <w:p w14:paraId="10000000">
      <w:pPr>
        <w:pStyle w:val="Style_5"/>
        <w:tabs>
          <w:tab w:leader="none" w:pos="993" w:val="left"/>
        </w:tabs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Наличие усиленной квалифицированной электронной подписи означает, что документы и сведения, направленные в форме электронных документов, представлены от имени организатора аукциона, члена аукционной </w:t>
      </w:r>
      <w:r>
        <w:rPr>
          <w:rFonts w:ascii="Times New Roman" w:hAnsi="Times New Roman"/>
          <w:sz w:val="28"/>
        </w:rPr>
        <w:t>комиссии, заявителя</w:t>
      </w:r>
      <w:r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участника </w:t>
      </w:r>
      <w:r>
        <w:rPr>
          <w:rFonts w:ascii="Times New Roman" w:hAnsi="Times New Roman"/>
          <w:sz w:val="28"/>
        </w:rPr>
        <w:t>аукциона и указанные лица несут ответственность за подлинность и достоверность таких документов и сведений.</w:t>
      </w:r>
    </w:p>
    <w:p w14:paraId="11000000">
      <w:pPr>
        <w:pStyle w:val="Style_5"/>
        <w:tabs>
          <w:tab w:leader="none" w:pos="993" w:val="left"/>
        </w:tabs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Оператор электронной площадки обеспечивает организатору аукциона и членам аукционной комиссии возможность подписания документов, подлежащих размещению на электронной площадке, усиленной квалифицированной электронной подписью.</w:t>
      </w:r>
    </w:p>
    <w:p w14:paraId="12000000">
      <w:pPr>
        <w:pStyle w:val="Style_5"/>
        <w:numPr>
          <w:ilvl w:val="0"/>
          <w:numId w:val="1"/>
        </w:numPr>
        <w:tabs>
          <w:tab w:leader="none" w:pos="993" w:val="left"/>
        </w:tabs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Оператор электронной площадки в соответствии с регламентом электронной площадки обеспечивает на электронной площадке:</w:t>
      </w:r>
    </w:p>
    <w:p w14:paraId="13000000">
      <w:pPr>
        <w:pStyle w:val="Style_3"/>
        <w:widowControl w:val="0"/>
        <w:numPr>
          <w:ilvl w:val="0"/>
          <w:numId w:val="2"/>
        </w:numPr>
        <w:tabs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возможность регистрации организатора аукциона и заявителей, ввод ими идентифицирующих данных (имя пользователя и пароль), возможность изменения пароля;</w:t>
      </w:r>
    </w:p>
    <w:p w14:paraId="14000000">
      <w:pPr>
        <w:pStyle w:val="Style_3"/>
        <w:widowControl w:val="0"/>
        <w:numPr>
          <w:ilvl w:val="0"/>
          <w:numId w:val="2"/>
        </w:numPr>
        <w:tabs>
          <w:tab w:leader="none" w:pos="1276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 xml:space="preserve">открытие рабочего раздела для осуществления действий на </w:t>
      </w:r>
      <w:r>
        <w:rPr>
          <w:sz w:val="28"/>
        </w:rPr>
        <w:t>электронной площадке (далее – личный кабинет) организатора аукциона, доступ к которому имеют организатор аукциона и члены аукционной комиссии, открытие личного кабинета заявителя, а также возможность входа в личный кабинет с использованием усиленной квалифицированной электронной подписи;</w:t>
      </w:r>
    </w:p>
    <w:p w14:paraId="15000000">
      <w:pPr>
        <w:pStyle w:val="Style_3"/>
        <w:widowControl w:val="0"/>
        <w:numPr>
          <w:ilvl w:val="0"/>
          <w:numId w:val="2"/>
        </w:numPr>
        <w:tabs>
          <w:tab w:leader="none" w:pos="1276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>открытие раздела, доступ к которому имеют только организатор аукциона, члены аукционной комиссии и участники аукциона (далее – закрытая часть электронной площадки);</w:t>
      </w:r>
    </w:p>
    <w:p w14:paraId="16000000">
      <w:pPr>
        <w:pStyle w:val="Style_3"/>
        <w:widowControl w:val="0"/>
        <w:numPr>
          <w:ilvl w:val="0"/>
          <w:numId w:val="2"/>
        </w:numPr>
        <w:tabs>
          <w:tab w:leader="none" w:pos="1276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>подачу заявителями заявок на участие в аукционе (далее – заявка);</w:t>
      </w:r>
    </w:p>
    <w:p w14:paraId="17000000">
      <w:pPr>
        <w:pStyle w:val="Style_3"/>
        <w:widowControl w:val="0"/>
        <w:numPr>
          <w:ilvl w:val="0"/>
          <w:numId w:val="2"/>
        </w:numPr>
        <w:tabs>
          <w:tab w:leader="none" w:pos="1276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>прием и регистрацию в электронных журналах заявок и прилагаемых к ним документов, предложений участников аукциона о размере разового платежа за пользование недрами, фиксацию сведений об отозванных заявках;</w:t>
      </w:r>
    </w:p>
    <w:p w14:paraId="18000000">
      <w:pPr>
        <w:pStyle w:val="Style_3"/>
        <w:widowControl w:val="0"/>
        <w:numPr>
          <w:ilvl w:val="0"/>
          <w:numId w:val="2"/>
        </w:numPr>
        <w:tabs>
          <w:tab w:leader="none" w:pos="1276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>направление организатору аукциона, заявителям и участникам аукциона в случаях и в сроки, которые предусмотрены Правилами проведения аукциона на право пользования участком недр федерального значения, участком недр местного значения, а также участком недр, не отнесенным к участкам недр федерального или местного значения, в электронной форме, утвержденными постановлением Правительства Российской Федерации от 28.12.2021 № 2499 (далее – Правила проведения аукциона), посредством личного кабинета уведомлений, содержащих сведения о размещении информации и (или) документов на электронной площадке, а также ссылку для ознакомления с соответствующей информацией и (или) документами (далее – уведомление);</w:t>
      </w:r>
    </w:p>
    <w:p w14:paraId="19000000">
      <w:pPr>
        <w:pStyle w:val="Style_3"/>
        <w:widowControl w:val="0"/>
        <w:numPr>
          <w:ilvl w:val="0"/>
          <w:numId w:val="2"/>
        </w:numPr>
        <w:tabs>
          <w:tab w:leader="none" w:pos="1276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 xml:space="preserve">ведение электронного документооборота посредством электронной площадки в соответствии с </w:t>
      </w:r>
      <w:r>
        <w:rPr>
          <w:sz w:val="28"/>
        </w:rPr>
        <w:t>частью</w:t>
      </w:r>
      <w:r>
        <w:rPr>
          <w:sz w:val="28"/>
        </w:rPr>
        <w:t xml:space="preserve"> 2 настоящего раздела;</w:t>
      </w:r>
    </w:p>
    <w:p w14:paraId="1A000000">
      <w:pPr>
        <w:pStyle w:val="Style_3"/>
        <w:widowControl w:val="0"/>
        <w:numPr>
          <w:ilvl w:val="0"/>
          <w:numId w:val="2"/>
        </w:numPr>
        <w:tabs>
          <w:tab w:leader="none" w:pos="1276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>равный доступ участников аукциона к процедуре аукциона, непрерывность проведения аукциона и надежность функционирования программно-аппаратных средств электронной площадки;</w:t>
      </w:r>
    </w:p>
    <w:p w14:paraId="1B000000">
      <w:pPr>
        <w:pStyle w:val="Style_3"/>
        <w:widowControl w:val="0"/>
        <w:numPr>
          <w:ilvl w:val="0"/>
          <w:numId w:val="2"/>
        </w:numPr>
        <w:tabs>
          <w:tab w:leader="none" w:pos="1276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 xml:space="preserve">размещение на электронной площадке информации в соответствии с требованиями </w:t>
      </w:r>
      <w:r>
        <w:rPr>
          <w:sz w:val="28"/>
        </w:rPr>
        <w:t>Правил проведения аукциона</w:t>
      </w:r>
      <w:r>
        <w:rPr>
          <w:sz w:val="28"/>
        </w:rPr>
        <w:t>;</w:t>
      </w:r>
    </w:p>
    <w:p w14:paraId="1C000000">
      <w:pPr>
        <w:pStyle w:val="Style_3"/>
        <w:widowControl w:val="0"/>
        <w:numPr>
          <w:ilvl w:val="0"/>
          <w:numId w:val="2"/>
        </w:numPr>
        <w:tabs>
          <w:tab w:leader="none" w:pos="1276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>конфиденциальность сведений о поступивших заявках и прилагаемых к ним документах и сведений о заявителях, за исключением случаев доступа организатора аукциона, а также членов аукционной комиссии к заявкам и прилагаемым к ним документам посредством личного кабинета организатора аукциона до момента размещения на электронной площадке протокола рассмотрения заявок на участие в аукционе;</w:t>
      </w:r>
    </w:p>
    <w:p w14:paraId="1D000000">
      <w:pPr>
        <w:pStyle w:val="Style_3"/>
        <w:widowControl w:val="0"/>
        <w:numPr>
          <w:ilvl w:val="0"/>
          <w:numId w:val="2"/>
        </w:numPr>
        <w:tabs>
          <w:tab w:leader="none" w:pos="1276" w:val="left"/>
        </w:tabs>
        <w:spacing w:before="220"/>
        <w:ind w:firstLine="709" w:left="0"/>
        <w:jc w:val="both"/>
        <w:rPr>
          <w:sz w:val="28"/>
        </w:rPr>
      </w:pPr>
      <w:bookmarkStart w:id="1" w:name="P118"/>
      <w:bookmarkEnd w:id="1"/>
      <w:r>
        <w:rPr>
          <w:sz w:val="28"/>
        </w:rPr>
        <w:t>возможность внесения заявителями на расчетный счет оператора электронной площадки сумм задатка и сбора за участие в аукционе по реквизитам:</w:t>
      </w:r>
    </w:p>
    <w:p w14:paraId="1E000000">
      <w:pPr>
        <w:pStyle w:val="Style_3"/>
        <w:widowControl w:val="0"/>
        <w:tabs>
          <w:tab w:leader="none" w:pos="1276" w:val="left"/>
        </w:tabs>
        <w:spacing w:before="220"/>
        <w:ind w:hanging="11" w:left="11"/>
        <w:jc w:val="both"/>
        <w:rPr>
          <w:sz w:val="28"/>
        </w:rPr>
      </w:pPr>
      <w:r>
        <w:rPr>
          <w:sz w:val="28"/>
        </w:rPr>
        <w:t>ООО ЭТП ГПБ:</w:t>
      </w:r>
    </w:p>
    <w:p w14:paraId="1F000000">
      <w:pPr>
        <w:pStyle w:val="Style_3"/>
        <w:widowControl w:val="0"/>
        <w:tabs>
          <w:tab w:leader="none" w:pos="1276" w:val="left"/>
        </w:tabs>
        <w:spacing w:before="220"/>
        <w:ind w:hanging="11" w:left="11"/>
        <w:jc w:val="both"/>
        <w:rPr>
          <w:sz w:val="28"/>
        </w:rPr>
      </w:pPr>
      <w:r>
        <w:rPr>
          <w:sz w:val="28"/>
        </w:rPr>
        <w:t>ИНН 7724514910;</w:t>
      </w:r>
    </w:p>
    <w:p w14:paraId="20000000">
      <w:pPr>
        <w:pStyle w:val="Style_3"/>
        <w:widowControl w:val="0"/>
        <w:tabs>
          <w:tab w:leader="none" w:pos="1276" w:val="left"/>
        </w:tabs>
        <w:spacing w:before="220"/>
        <w:ind w:hanging="11" w:left="11"/>
        <w:jc w:val="both"/>
        <w:rPr>
          <w:sz w:val="28"/>
        </w:rPr>
      </w:pPr>
      <w:r>
        <w:rPr>
          <w:sz w:val="28"/>
        </w:rPr>
        <w:t>р/</w:t>
      </w:r>
      <w:r>
        <w:rPr>
          <w:sz w:val="28"/>
        </w:rPr>
        <w:t>сч</w:t>
      </w:r>
      <w:r>
        <w:rPr>
          <w:sz w:val="28"/>
        </w:rPr>
        <w:t>.: 40702810300000017639;</w:t>
      </w:r>
    </w:p>
    <w:p w14:paraId="21000000">
      <w:pPr>
        <w:pStyle w:val="Style_3"/>
        <w:widowControl w:val="0"/>
        <w:tabs>
          <w:tab w:leader="none" w:pos="1276" w:val="left"/>
        </w:tabs>
        <w:spacing w:before="220" w:line="240" w:lineRule="auto"/>
        <w:ind w:hanging="11" w:left="11"/>
        <w:jc w:val="both"/>
        <w:rPr>
          <w:sz w:val="28"/>
        </w:rPr>
      </w:pPr>
      <w:r>
        <w:rPr>
          <w:sz w:val="28"/>
        </w:rPr>
        <w:t>кор. </w:t>
      </w:r>
      <w:r>
        <w:rPr>
          <w:sz w:val="28"/>
        </w:rPr>
        <w:t>сч</w:t>
      </w:r>
      <w:r>
        <w:rPr>
          <w:sz w:val="28"/>
        </w:rPr>
        <w:t>. 30101810200000000823;</w:t>
      </w:r>
    </w:p>
    <w:p w14:paraId="22000000">
      <w:pPr>
        <w:pStyle w:val="Style_3"/>
        <w:widowControl w:val="0"/>
        <w:tabs>
          <w:tab w:leader="none" w:pos="1276" w:val="left"/>
        </w:tabs>
        <w:spacing w:before="220" w:line="240" w:lineRule="auto"/>
        <w:ind w:hanging="11" w:left="11"/>
        <w:jc w:val="both"/>
        <w:rPr>
          <w:sz w:val="28"/>
        </w:rPr>
      </w:pPr>
      <w:r>
        <w:rPr>
          <w:sz w:val="28"/>
        </w:rPr>
        <w:t>БИК 044525823 в БАНК ГПБ (АО) г. Москва;</w:t>
      </w:r>
    </w:p>
    <w:p w14:paraId="23000000">
      <w:pPr>
        <w:pStyle w:val="Style_3"/>
        <w:widowControl w:val="0"/>
        <w:numPr>
          <w:ilvl w:val="0"/>
          <w:numId w:val="2"/>
        </w:numPr>
        <w:tabs>
          <w:tab w:leader="none" w:pos="1276" w:val="left"/>
        </w:tabs>
        <w:spacing w:before="220" w:line="240" w:lineRule="auto"/>
        <w:ind w:firstLine="709" w:left="0"/>
        <w:jc w:val="both"/>
        <w:rPr>
          <w:sz w:val="28"/>
        </w:rPr>
      </w:pPr>
      <w:r>
        <w:rPr>
          <w:sz w:val="28"/>
        </w:rPr>
        <w:t xml:space="preserve">осуществление операций с денежными средствами (задаток и сбор за участие в аукционе), в том числе их возврат в случаях, предусмотренных </w:t>
      </w:r>
      <w:r>
        <w:rPr>
          <w:sz w:val="28"/>
        </w:rPr>
        <w:fldChar w:fldCharType="begin"/>
      </w:r>
      <w:r>
        <w:rPr>
          <w:sz w:val="28"/>
        </w:rPr>
        <w:instrText>HYPERLINK \l "P151"</w:instrText>
      </w:r>
      <w:r>
        <w:rPr>
          <w:sz w:val="28"/>
        </w:rPr>
        <w:fldChar w:fldCharType="separate"/>
      </w:r>
      <w:r>
        <w:rPr>
          <w:sz w:val="28"/>
        </w:rPr>
        <w:t xml:space="preserve">частями </w:t>
      </w:r>
      <w:r>
        <w:rPr>
          <w:sz w:val="28"/>
        </w:rPr>
        <w:t>38</w:t>
      </w:r>
      <w:r>
        <w:rPr>
          <w:sz w:val="28"/>
        </w:rPr>
        <w:fldChar w:fldCharType="end"/>
      </w:r>
      <w:r>
        <w:rPr>
          <w:sz w:val="28"/>
        </w:rPr>
        <w:t xml:space="preserve"> и 4</w:t>
      </w:r>
      <w:r>
        <w:rPr>
          <w:sz w:val="28"/>
        </w:rPr>
        <w:t>0</w:t>
      </w:r>
      <w:r>
        <w:rPr>
          <w:sz w:val="28"/>
        </w:rPr>
        <w:t xml:space="preserve"> настоящего Порядка и условий проведения аукциона, а также </w:t>
      </w:r>
      <w:r>
        <w:rPr>
          <w:sz w:val="28"/>
        </w:rPr>
        <w:t xml:space="preserve">перечисление в доход бюджета Камчатского края в порядке, установленном </w:t>
      </w:r>
      <w:r>
        <w:rPr>
          <w:sz w:val="28"/>
        </w:rPr>
        <w:t>частью</w:t>
      </w:r>
      <w:r>
        <w:rPr>
          <w:sz w:val="28"/>
        </w:rPr>
        <w:t xml:space="preserve"> 4</w:t>
      </w:r>
      <w:r>
        <w:rPr>
          <w:sz w:val="28"/>
        </w:rPr>
        <w:t>1</w:t>
      </w:r>
      <w:r>
        <w:rPr>
          <w:sz w:val="28"/>
        </w:rPr>
        <w:t xml:space="preserve"> настоящего Порядка и условий проведения аукциона;</w:t>
      </w:r>
    </w:p>
    <w:p w14:paraId="24000000">
      <w:pPr>
        <w:pStyle w:val="Style_3"/>
        <w:widowControl w:val="0"/>
        <w:numPr>
          <w:ilvl w:val="0"/>
          <w:numId w:val="2"/>
        </w:numPr>
        <w:tabs>
          <w:tab w:leader="none" w:pos="1276" w:val="left"/>
        </w:tabs>
        <w:spacing w:before="220" w:line="240" w:lineRule="auto"/>
        <w:ind w:firstLine="709" w:left="0"/>
        <w:jc w:val="both"/>
        <w:rPr>
          <w:sz w:val="28"/>
        </w:rPr>
      </w:pPr>
      <w:r>
        <w:rPr>
          <w:sz w:val="28"/>
        </w:rPr>
        <w:t>хранение электронных документов, связанных с организацией и проведением аукциона не менее 10 лет.</w:t>
      </w:r>
    </w:p>
    <w:p w14:paraId="25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spacing w:line="240" w:lineRule="auto"/>
        <w:ind w:firstLine="709" w:left="0"/>
        <w:jc w:val="both"/>
        <w:rPr>
          <w:sz w:val="28"/>
        </w:rPr>
      </w:pPr>
      <w:r>
        <w:rPr>
          <w:sz w:val="28"/>
        </w:rPr>
        <w:t xml:space="preserve">Дата окончания срока подачи заявок </w:t>
      </w:r>
      <w:r>
        <w:rPr>
          <w:sz w:val="28"/>
        </w:rPr>
        <w:t>до 17</w:t>
      </w:r>
      <w:r>
        <w:rPr>
          <w:sz w:val="28"/>
        </w:rPr>
        <w:t xml:space="preserve"> часов 00 минут</w:t>
      </w:r>
      <w:r>
        <w:rPr>
          <w:sz w:val="28"/>
        </w:rPr>
        <w:t xml:space="preserve"> (время </w:t>
      </w:r>
      <w:r>
        <w:rPr>
          <w:sz w:val="28"/>
        </w:rPr>
        <w:t>камчатское</w:t>
      </w:r>
      <w:r>
        <w:rPr>
          <w:sz w:val="28"/>
        </w:rPr>
        <w:t>) 25</w:t>
      </w:r>
      <w:r>
        <w:rPr>
          <w:sz w:val="28"/>
        </w:rPr>
        <w:t xml:space="preserve"> декабря 2023 года</w:t>
      </w:r>
      <w:r>
        <w:rPr>
          <w:sz w:val="28"/>
        </w:rPr>
        <w:t>.</w:t>
      </w:r>
    </w:p>
    <w:p w14:paraId="26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spacing w:line="240" w:lineRule="auto"/>
        <w:ind w:firstLine="709" w:left="0"/>
        <w:jc w:val="both"/>
        <w:rPr>
          <w:sz w:val="28"/>
        </w:rPr>
      </w:pPr>
      <w:r>
        <w:rPr>
          <w:sz w:val="28"/>
        </w:rPr>
        <w:t>Дата и время проведения аукциона 27</w:t>
      </w:r>
      <w:r>
        <w:rPr>
          <w:sz w:val="28"/>
        </w:rPr>
        <w:t xml:space="preserve"> декабря 2023 года</w:t>
      </w:r>
      <w:r>
        <w:rPr>
          <w:sz w:val="28"/>
        </w:rPr>
        <w:t xml:space="preserve"> в </w:t>
      </w:r>
      <w:r>
        <w:rPr>
          <w:sz w:val="28"/>
        </w:rPr>
        <w:t>15</w:t>
      </w:r>
      <w:r>
        <w:rPr>
          <w:sz w:val="28"/>
        </w:rPr>
        <w:t xml:space="preserve"> часов 00 минут (время </w:t>
      </w:r>
      <w:r>
        <w:rPr>
          <w:sz w:val="28"/>
        </w:rPr>
        <w:t>камчатское</w:t>
      </w:r>
      <w:r>
        <w:rPr>
          <w:sz w:val="28"/>
        </w:rPr>
        <w:t>).</w:t>
      </w:r>
    </w:p>
    <w:p w14:paraId="27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spacing w:line="240" w:lineRule="auto"/>
        <w:ind w:firstLine="709" w:left="0"/>
        <w:jc w:val="both"/>
        <w:rPr>
          <w:sz w:val="28"/>
        </w:rPr>
      </w:pPr>
      <w:r>
        <w:rPr>
          <w:sz w:val="28"/>
        </w:rPr>
        <w:t xml:space="preserve">Дата подписания членами аукционной комиссии протокола рассмотрения заявок на участие в аукционе </w:t>
      </w:r>
      <w:r>
        <w:rPr>
          <w:sz w:val="28"/>
        </w:rPr>
        <w:t>– 26 декабр</w:t>
      </w:r>
      <w:r>
        <w:rPr>
          <w:sz w:val="28"/>
        </w:rPr>
        <w:t>я</w:t>
      </w:r>
      <w:r>
        <w:rPr>
          <w:sz w:val="28"/>
        </w:rPr>
        <w:t xml:space="preserve"> 202</w:t>
      </w:r>
      <w:r>
        <w:rPr>
          <w:sz w:val="28"/>
        </w:rPr>
        <w:t>3</w:t>
      </w:r>
      <w:r>
        <w:rPr>
          <w:sz w:val="28"/>
        </w:rPr>
        <w:t xml:space="preserve"> года.</w:t>
      </w:r>
    </w:p>
    <w:p w14:paraId="28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spacing w:line="240" w:lineRule="auto"/>
        <w:ind w:firstLine="709" w:left="0"/>
        <w:jc w:val="both"/>
        <w:rPr>
          <w:sz w:val="28"/>
        </w:rPr>
      </w:pPr>
      <w:r>
        <w:rPr>
          <w:sz w:val="28"/>
        </w:rPr>
        <w:t>Дата начала срока предоставления заинтересованным лицам разъяснений содержания решения о проведении аукциона, порядка и условий проведения аукциона и требований к аукционной документации</w:t>
      </w:r>
      <w:r>
        <w:rPr>
          <w:sz w:val="28"/>
        </w:rPr>
        <w:t>:</w:t>
      </w:r>
      <w:r>
        <w:rPr>
          <w:sz w:val="28"/>
        </w:rPr>
        <w:t xml:space="preserve"> </w:t>
      </w:r>
      <w:r>
        <w:rPr>
          <w:sz w:val="28"/>
        </w:rPr>
        <w:t>дат</w:t>
      </w:r>
      <w:r>
        <w:rPr>
          <w:sz w:val="28"/>
        </w:rPr>
        <w:t>а</w:t>
      </w:r>
      <w:r>
        <w:rPr>
          <w:sz w:val="28"/>
        </w:rPr>
        <w:t xml:space="preserve"> опубликования объявления о проведении аукциона на право пользования участками недр «Сопка Лысая-1» и «Сопка Лысая-2» месторождения Сопка Лысая.</w:t>
      </w:r>
    </w:p>
    <w:p w14:paraId="29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spacing w:line="240" w:lineRule="auto"/>
        <w:ind w:firstLine="709" w:left="0"/>
        <w:jc w:val="both"/>
        <w:rPr>
          <w:sz w:val="28"/>
        </w:rPr>
      </w:pPr>
      <w:r>
        <w:rPr>
          <w:sz w:val="28"/>
        </w:rPr>
        <w:t>Дата окончания срока предоставления заинтересованным лицам разъяснений содержания решения о проведении аукциона, порядка и условий проведения аукциона и требо</w:t>
      </w:r>
      <w:r>
        <w:rPr>
          <w:sz w:val="28"/>
        </w:rPr>
        <w:t>ваний к аукционной документации:</w:t>
      </w:r>
      <w:r>
        <w:rPr>
          <w:sz w:val="28"/>
        </w:rPr>
        <w:t xml:space="preserve"> </w:t>
      </w:r>
      <w:r>
        <w:rPr>
          <w:sz w:val="28"/>
        </w:rPr>
        <w:t>до 17</w:t>
      </w:r>
      <w:r>
        <w:rPr>
          <w:sz w:val="28"/>
        </w:rPr>
        <w:t xml:space="preserve"> часов 00 минут</w:t>
      </w:r>
      <w:r>
        <w:rPr>
          <w:sz w:val="28"/>
        </w:rPr>
        <w:t xml:space="preserve"> (время </w:t>
      </w:r>
      <w:r>
        <w:rPr>
          <w:sz w:val="28"/>
        </w:rPr>
        <w:t>камчатское</w:t>
      </w:r>
      <w:r>
        <w:rPr>
          <w:sz w:val="28"/>
        </w:rPr>
        <w:t xml:space="preserve">) </w:t>
      </w:r>
      <w:r>
        <w:rPr>
          <w:sz w:val="28"/>
        </w:rPr>
        <w:t>25</w:t>
      </w:r>
      <w:r>
        <w:rPr>
          <w:sz w:val="28"/>
        </w:rPr>
        <w:t xml:space="preserve"> апреля 2023 года.</w:t>
      </w:r>
    </w:p>
    <w:p w14:paraId="2A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spacing w:line="240" w:lineRule="auto"/>
        <w:ind w:firstLine="709" w:left="0"/>
        <w:jc w:val="both"/>
        <w:rPr>
          <w:sz w:val="28"/>
        </w:rPr>
      </w:pPr>
      <w:r>
        <w:rPr>
          <w:sz w:val="28"/>
        </w:rPr>
        <w:t>Почтовый адрес и контактные телефоны, адрес электронной почты организатора аукциона: 683040, Россия, Камчатский край, г. Петропавловск-Камчатский, пл. Ленина, д. 1 (адрес места нахождения: г. Петропавловск-Камчатский, ул. Владивостокская, д. 2/1), тел. (4152) 27-55-86, 42-51-08, факс: (4152) 27-55-87, адрес электронной почты: priroda@kamgov.ru.</w:t>
      </w:r>
    </w:p>
    <w:p w14:paraId="2B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spacing w:line="240" w:lineRule="auto"/>
        <w:ind w:firstLine="709" w:left="0"/>
        <w:jc w:val="both"/>
        <w:rPr>
          <w:sz w:val="28"/>
        </w:rPr>
      </w:pPr>
      <w:r>
        <w:rPr>
          <w:sz w:val="28"/>
        </w:rPr>
        <w:t xml:space="preserve">Адрес электронной почты оператора электронной площадки: </w:t>
      </w:r>
      <w:r>
        <w:rPr>
          <w:rStyle w:val="Style_4_ch"/>
          <w:color w:val="000000"/>
          <w:sz w:val="28"/>
        </w:rPr>
        <w:fldChar w:fldCharType="begin"/>
      </w:r>
      <w:r>
        <w:rPr>
          <w:rStyle w:val="Style_4_ch"/>
          <w:color w:val="000000"/>
          <w:sz w:val="28"/>
        </w:rPr>
        <w:instrText>HYPERLINK "mailto:info@etpgpb.ru"</w:instrText>
      </w:r>
      <w:r>
        <w:rPr>
          <w:rStyle w:val="Style_4_ch"/>
          <w:color w:val="000000"/>
          <w:sz w:val="28"/>
        </w:rPr>
        <w:fldChar w:fldCharType="separate"/>
      </w:r>
      <w:r>
        <w:rPr>
          <w:rStyle w:val="Style_4_ch"/>
          <w:color w:val="000000"/>
          <w:sz w:val="28"/>
        </w:rPr>
        <w:t>info@etpgpb.ru</w:t>
      </w:r>
      <w:r>
        <w:rPr>
          <w:rStyle w:val="Style_4_ch"/>
          <w:color w:val="000000"/>
          <w:sz w:val="28"/>
        </w:rPr>
        <w:fldChar w:fldCharType="end"/>
      </w:r>
      <w:r>
        <w:rPr>
          <w:sz w:val="28"/>
        </w:rPr>
        <w:t>.</w:t>
      </w:r>
    </w:p>
    <w:p w14:paraId="2C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spacing w:line="240" w:lineRule="auto"/>
        <w:ind w:firstLine="709" w:left="0"/>
        <w:jc w:val="both"/>
        <w:rPr>
          <w:sz w:val="28"/>
        </w:rPr>
      </w:pPr>
      <w:r>
        <w:rPr>
          <w:sz w:val="28"/>
        </w:rPr>
        <w:t>Аукцион проводится с целью выявления победителя на получение права пользования участк</w:t>
      </w:r>
      <w:r>
        <w:rPr>
          <w:sz w:val="28"/>
        </w:rPr>
        <w:t>ами</w:t>
      </w:r>
      <w:r>
        <w:rPr>
          <w:sz w:val="28"/>
        </w:rPr>
        <w:t xml:space="preserve"> недр местного значения </w:t>
      </w:r>
      <w:r>
        <w:rPr>
          <w:rFonts w:ascii="Times New Roman" w:hAnsi="Times New Roman"/>
          <w:b w:val="0"/>
          <w:sz w:val="28"/>
        </w:rPr>
        <w:t>«</w:t>
      </w:r>
      <w:r>
        <w:rPr>
          <w:rFonts w:ascii="Times New Roman" w:hAnsi="Times New Roman"/>
          <w:b w:val="0"/>
          <w:sz w:val="28"/>
        </w:rPr>
        <w:t>Сопка Лысая-1</w:t>
      </w:r>
      <w:r>
        <w:rPr>
          <w:rFonts w:ascii="Times New Roman" w:hAnsi="Times New Roman"/>
          <w:b w:val="0"/>
          <w:sz w:val="28"/>
        </w:rPr>
        <w:t>»</w:t>
      </w:r>
      <w:r>
        <w:rPr>
          <w:rFonts w:ascii="Times New Roman" w:hAnsi="Times New Roman"/>
          <w:b w:val="0"/>
          <w:sz w:val="28"/>
        </w:rPr>
        <w:t xml:space="preserve"> и «Сопка Лысая-2» </w:t>
      </w:r>
      <w:r>
        <w:rPr>
          <w:spacing w:val="-1"/>
          <w:sz w:val="28"/>
        </w:rPr>
        <w:t>месторождения Сопка Лысая</w:t>
      </w:r>
      <w:r>
        <w:rPr>
          <w:sz w:val="28"/>
        </w:rPr>
        <w:t xml:space="preserve">. </w:t>
      </w:r>
    </w:p>
    <w:p w14:paraId="2D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spacing w:line="240" w:lineRule="auto"/>
        <w:ind w:firstLine="709" w:left="0"/>
        <w:jc w:val="both"/>
        <w:rPr>
          <w:sz w:val="28"/>
        </w:rPr>
      </w:pPr>
      <w:r>
        <w:rPr>
          <w:sz w:val="28"/>
        </w:rPr>
        <w:t>Критерием выявления победителя при проведении аукциона является наибольший размер разового платежа за пользование участком недр местного значения.</w:t>
      </w:r>
    </w:p>
    <w:p w14:paraId="2E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spacing w:line="240" w:lineRule="auto"/>
        <w:ind w:firstLine="709" w:left="0"/>
        <w:jc w:val="both"/>
        <w:rPr>
          <w:sz w:val="28"/>
        </w:rPr>
      </w:pPr>
      <w:r>
        <w:rPr>
          <w:sz w:val="28"/>
        </w:rPr>
        <w:t>Минимальный (стартовый) размер разового платежа за пользование недрами:</w:t>
      </w:r>
      <w:r>
        <w:rPr>
          <w:sz w:val="28"/>
        </w:rPr>
        <w:t xml:space="preserve"> </w:t>
      </w:r>
      <w:r>
        <w:rPr>
          <w:sz w:val="28"/>
        </w:rPr>
        <w:t>1 433 348</w:t>
      </w:r>
      <w:r>
        <w:rPr>
          <w:b w:val="1"/>
          <w:sz w:val="28"/>
        </w:rPr>
        <w:t xml:space="preserve"> </w:t>
      </w:r>
      <w:r>
        <w:rPr>
          <w:sz w:val="28"/>
        </w:rPr>
        <w:t>(</w:t>
      </w:r>
      <w:r>
        <w:rPr>
          <w:sz w:val="28"/>
        </w:rPr>
        <w:t>один миллион четыреста тридцать три тысячи триста сорок восемь</w:t>
      </w:r>
      <w:r>
        <w:rPr>
          <w:sz w:val="28"/>
        </w:rPr>
        <w:t>) рубля 00 копеек.</w:t>
      </w:r>
    </w:p>
    <w:p w14:paraId="2F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spacing w:line="240" w:lineRule="auto"/>
        <w:ind w:firstLine="709" w:left="0"/>
        <w:jc w:val="both"/>
        <w:rPr>
          <w:sz w:val="28"/>
        </w:rPr>
      </w:pPr>
      <w:r>
        <w:rPr>
          <w:sz w:val="28"/>
        </w:rPr>
        <w:t>Срок и порядок внесения окончательного размера разового платежа за пользование недрами: окончательный</w:t>
      </w:r>
      <w:r>
        <w:rPr>
          <w:sz w:val="28"/>
        </w:rPr>
        <w:t xml:space="preserve"> размер разового платежа за пользование недрами устанавливается в протоколе о результатах аукциона по результатам аукциона или в протоколе рассмотрения заявок на участие в аукционе в случае, предусмотренном частью 8 статьи 13.1 Закона Российской Федерации от 21.02.1992 № 2395-1 «О недрах» (далее – Закон «О недрах»).</w:t>
      </w:r>
    </w:p>
    <w:p w14:paraId="30000000">
      <w:pPr>
        <w:tabs>
          <w:tab w:leader="none" w:pos="993" w:val="left"/>
          <w:tab w:leader="none" w:pos="1276" w:val="left"/>
        </w:tabs>
        <w:spacing w:line="240" w:lineRule="auto"/>
        <w:ind w:firstLine="709" w:left="0"/>
        <w:jc w:val="both"/>
        <w:rPr>
          <w:sz w:val="28"/>
        </w:rPr>
      </w:pPr>
      <w:r>
        <w:rPr>
          <w:sz w:val="28"/>
        </w:rPr>
        <w:t xml:space="preserve">В соответствии с частью 4 статьи 40 Закона «О недрах» победитель аукциона или иное лицо, которому предоставляется право пользования недрами и на которое оформляется лицензия на пользование недрами в соответствии с частью 8 статьи 13.1 Закона «О недрах», обязаны уплатить указанный в соответствующем протоколе окончательный размер разового платежа за пользование недрами в течение 30 дней со дня размещения на официальном </w:t>
      </w:r>
      <w:r>
        <w:rPr>
          <w:sz w:val="28"/>
        </w:rPr>
        <w:t>сайте протокола о результатах аукциона, протокола рассмотрения заявок на участие в аукционе.</w:t>
      </w:r>
    </w:p>
    <w:p w14:paraId="31000000">
      <w:p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Реквизиты для уплаты окончательного размера разового платежа за пользование недрами лицом, которому предоставляется право по</w:t>
      </w:r>
      <w:r>
        <w:rPr>
          <w:sz w:val="28"/>
        </w:rPr>
        <w:t xml:space="preserve">льзования недрами, приведены </w:t>
      </w:r>
      <w:r>
        <w:rPr>
          <w:sz w:val="28"/>
        </w:rPr>
        <w:t xml:space="preserve">пункте </w:t>
      </w:r>
      <w:r>
        <w:rPr>
          <w:sz w:val="28"/>
        </w:rPr>
        <w:t xml:space="preserve">1 </w:t>
      </w:r>
      <w:r>
        <w:rPr>
          <w:sz w:val="28"/>
        </w:rPr>
        <w:t>части</w:t>
      </w:r>
      <w:r>
        <w:rPr>
          <w:sz w:val="28"/>
        </w:rPr>
        <w:t xml:space="preserve"> </w:t>
      </w:r>
      <w:r>
        <w:rPr>
          <w:sz w:val="28"/>
        </w:rPr>
        <w:t>8</w:t>
      </w:r>
      <w:r>
        <w:rPr>
          <w:sz w:val="28"/>
        </w:rPr>
        <w:t>9</w:t>
      </w:r>
      <w:r>
        <w:rPr>
          <w:sz w:val="28"/>
        </w:rPr>
        <w:t xml:space="preserve"> настоящего</w:t>
      </w:r>
      <w:r>
        <w:rPr>
          <w:sz w:val="28"/>
        </w:rPr>
        <w:t xml:space="preserve"> Порядка и условий проведения аукциона.</w:t>
      </w:r>
    </w:p>
    <w:p w14:paraId="32000000">
      <w:p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Датой внесения окончательного размера разового платежа является дата зачисления денежных средств в сумме, указанной в протоколе о результатах аукциона по результатам аукциона или в протоколе рассмотрения заявок на участие в аукционе в случае, предусмотренном частью 8 статьи 13.1 Закона «О недрах», по реквизитам, указанным в </w:t>
      </w:r>
      <w:r>
        <w:rPr>
          <w:sz w:val="28"/>
        </w:rPr>
        <w:t>пункте 1 части 8</w:t>
      </w:r>
      <w:r>
        <w:rPr>
          <w:sz w:val="28"/>
        </w:rPr>
        <w:t>9</w:t>
      </w:r>
      <w:r>
        <w:rPr>
          <w:sz w:val="28"/>
        </w:rPr>
        <w:t xml:space="preserve"> </w:t>
      </w:r>
      <w:r>
        <w:rPr>
          <w:sz w:val="28"/>
        </w:rPr>
        <w:t>настоящего Порядка и условий проведения аукциона.</w:t>
      </w:r>
    </w:p>
    <w:p w14:paraId="33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Размер «шага аукциона» равен 10 процентам величины минимального (стартового) размера разового платежа за пользование недрами и составляет </w:t>
      </w:r>
      <w:r>
        <w:rPr>
          <w:sz w:val="28"/>
        </w:rPr>
        <w:t>143334,8</w:t>
      </w:r>
      <w:r>
        <w:rPr>
          <w:sz w:val="28"/>
        </w:rPr>
        <w:t xml:space="preserve"> (</w:t>
      </w:r>
      <w:r>
        <w:rPr>
          <w:sz w:val="28"/>
        </w:rPr>
        <w:t>сто сорок три тысячи триста тридцать четыре</w:t>
      </w:r>
      <w:r>
        <w:rPr>
          <w:sz w:val="28"/>
        </w:rPr>
        <w:t>) рубля</w:t>
      </w:r>
      <w:r>
        <w:rPr>
          <w:sz w:val="28"/>
        </w:rPr>
        <w:t xml:space="preserve"> </w:t>
      </w:r>
      <w:r>
        <w:rPr>
          <w:sz w:val="28"/>
        </w:rPr>
        <w:t>80</w:t>
      </w:r>
      <w:r>
        <w:rPr>
          <w:sz w:val="28"/>
        </w:rPr>
        <w:t xml:space="preserve"> копеек</w:t>
      </w:r>
      <w:r>
        <w:rPr>
          <w:sz w:val="28"/>
        </w:rPr>
        <w:t>.</w:t>
      </w:r>
      <w:bookmarkStart w:id="2" w:name="_GoBack"/>
      <w:bookmarkEnd w:id="2"/>
    </w:p>
    <w:p w14:paraId="34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Размер задатка за участие в аукционе равен 100% размера минимального (стартового) размера разового платежа за пользование недрами и составляет </w:t>
      </w:r>
      <w:r>
        <w:rPr>
          <w:sz w:val="28"/>
        </w:rPr>
        <w:t xml:space="preserve">1433348 </w:t>
      </w:r>
      <w:r>
        <w:rPr>
          <w:sz w:val="28"/>
        </w:rPr>
        <w:t>(</w:t>
      </w:r>
      <w:r>
        <w:rPr>
          <w:sz w:val="28"/>
        </w:rPr>
        <w:t>один миллион четыреста тридцать три тысячи триста сорок восемь</w:t>
      </w:r>
      <w:r>
        <w:rPr>
          <w:sz w:val="28"/>
        </w:rPr>
        <w:t>)</w:t>
      </w:r>
      <w:r>
        <w:rPr>
          <w:sz w:val="28"/>
        </w:rPr>
        <w:t xml:space="preserve"> рубл</w:t>
      </w:r>
      <w:r>
        <w:rPr>
          <w:sz w:val="28"/>
        </w:rPr>
        <w:t>ей</w:t>
      </w:r>
      <w:r>
        <w:rPr>
          <w:sz w:val="28"/>
        </w:rPr>
        <w:t xml:space="preserve"> 0</w:t>
      </w:r>
      <w:r>
        <w:rPr>
          <w:sz w:val="28"/>
        </w:rPr>
        <w:t>0</w:t>
      </w:r>
      <w:r>
        <w:rPr>
          <w:sz w:val="28"/>
        </w:rPr>
        <w:t xml:space="preserve"> копеек</w:t>
      </w:r>
      <w:r>
        <w:rPr>
          <w:sz w:val="28"/>
        </w:rPr>
        <w:t>.</w:t>
      </w:r>
    </w:p>
    <w:p w14:paraId="35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Сумма сбора за участие в аукционе</w:t>
      </w:r>
      <w:r>
        <w:rPr>
          <w:sz w:val="28"/>
        </w:rPr>
        <w:t xml:space="preserve"> составляет </w:t>
      </w:r>
      <w:r>
        <w:rPr>
          <w:sz w:val="28"/>
        </w:rPr>
        <w:t>57732,00</w:t>
      </w:r>
      <w:r>
        <w:rPr>
          <w:sz w:val="28"/>
        </w:rPr>
        <w:t xml:space="preserve"> (</w:t>
      </w:r>
      <w:r>
        <w:rPr>
          <w:sz w:val="28"/>
        </w:rPr>
        <w:t>пятьдесят семь тысяч семьсот тридцать два</w:t>
      </w:r>
      <w:r>
        <w:rPr>
          <w:sz w:val="28"/>
        </w:rPr>
        <w:t xml:space="preserve">) рубля </w:t>
      </w:r>
      <w:r>
        <w:rPr>
          <w:sz w:val="28"/>
        </w:rPr>
        <w:t>(приложение 2 к Порядку и условиям проведения аукциона)</w:t>
      </w:r>
      <w:r>
        <w:rPr>
          <w:sz w:val="28"/>
        </w:rPr>
        <w:t>.</w:t>
      </w:r>
    </w:p>
    <w:p w14:paraId="36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Размер государственной пошлины за выдачу лицензии и порядок ее внесения: государственная пошлина, предусмотренная абзацем 2 подпункта 92 пункта 1 статьи 333.33 Налогового кодекса Российской Федерации, уплачивается победителем аукциона или иным лицом, которому предоставляется право пользования недрами и на которое оформляется лицензия на пользование недрами в соответствии с частью </w:t>
      </w:r>
      <w:r>
        <w:rPr>
          <w:sz w:val="28"/>
        </w:rPr>
        <w:t>8 статьи 13.1 Закона «О недрах»</w:t>
      </w:r>
      <w:r>
        <w:rPr>
          <w:sz w:val="28"/>
        </w:rPr>
        <w:t>, по реквизитам:</w:t>
      </w:r>
    </w:p>
    <w:p w14:paraId="37000000">
      <w:pPr>
        <w:ind w:firstLine="0" w:left="709"/>
        <w:outlineLvl w:val="0"/>
        <w:rPr>
          <w:sz w:val="28"/>
        </w:rPr>
      </w:pPr>
      <w:r>
        <w:rPr>
          <w:sz w:val="28"/>
        </w:rPr>
        <w:t>Получатель</w:t>
      </w:r>
      <w:r>
        <w:rPr>
          <w:b w:val="1"/>
          <w:sz w:val="28"/>
        </w:rPr>
        <w:t>:</w:t>
      </w:r>
      <w:r>
        <w:rPr>
          <w:sz w:val="28"/>
        </w:rPr>
        <w:t xml:space="preserve"> УФК по Камчатскому краю (Министерство природных ресурсов и экологии Камчатского края 04382000990)</w:t>
      </w:r>
    </w:p>
    <w:p w14:paraId="38000000">
      <w:pPr>
        <w:ind w:firstLine="0" w:left="709"/>
        <w:outlineLvl w:val="0"/>
        <w:rPr>
          <w:sz w:val="28"/>
        </w:rPr>
      </w:pPr>
      <w:r>
        <w:rPr>
          <w:sz w:val="28"/>
        </w:rPr>
        <w:t>Банк получателя: ОТДЕЛЕНИЕ ПЕТРОПАВЛОВСК-КАМЧАТСКИЙ БАНКА РОССИИ// УПРАВЛЕНИЕ ФЕДЕРАЛЬНОГО КАЗНАЧЕЙСТВА ПО КАМЧАТСКОМУ КРАЮ Г. ПЕТРОПАВЛОВСК-КАМЧАТСКИЙ</w:t>
      </w:r>
    </w:p>
    <w:p w14:paraId="39000000">
      <w:pPr>
        <w:ind w:firstLine="0" w:left="709"/>
        <w:outlineLvl w:val="0"/>
        <w:rPr>
          <w:b w:val="1"/>
          <w:sz w:val="28"/>
        </w:rPr>
      </w:pPr>
      <w:r>
        <w:rPr>
          <w:sz w:val="28"/>
        </w:rPr>
        <w:t>Казначейский счет (бывший расчетный счет):03100643000000013800</w:t>
      </w:r>
    </w:p>
    <w:p w14:paraId="3A000000">
      <w:pPr>
        <w:ind w:firstLine="0" w:left="709"/>
        <w:rPr>
          <w:b w:val="1"/>
          <w:spacing w:val="-2"/>
          <w:sz w:val="28"/>
        </w:rPr>
      </w:pPr>
      <w:r>
        <w:rPr>
          <w:sz w:val="28"/>
        </w:rPr>
        <w:t>Единый казначейский счет (к/</w:t>
      </w:r>
      <w:r>
        <w:rPr>
          <w:sz w:val="28"/>
        </w:rPr>
        <w:t>сч</w:t>
      </w:r>
      <w:r>
        <w:rPr>
          <w:sz w:val="28"/>
        </w:rPr>
        <w:t>)</w:t>
      </w:r>
      <w:r>
        <w:rPr>
          <w:spacing w:val="-2"/>
          <w:sz w:val="28"/>
        </w:rPr>
        <w:t>: 40102810945370000031</w:t>
      </w:r>
    </w:p>
    <w:p w14:paraId="3B000000">
      <w:pPr>
        <w:ind w:firstLine="0" w:left="709"/>
        <w:rPr>
          <w:sz w:val="28"/>
        </w:rPr>
      </w:pPr>
      <w:r>
        <w:rPr>
          <w:sz w:val="28"/>
        </w:rPr>
        <w:t>БИК 013002402</w:t>
      </w:r>
    </w:p>
    <w:p w14:paraId="3C000000">
      <w:pPr>
        <w:ind w:firstLine="0" w:left="709"/>
        <w:jc w:val="both"/>
        <w:rPr>
          <w:i w:val="1"/>
          <w:sz w:val="28"/>
        </w:rPr>
      </w:pPr>
      <w:r>
        <w:rPr>
          <w:sz w:val="28"/>
        </w:rPr>
        <w:t xml:space="preserve">КБК 808 1 08 07082 01 1000 110 </w:t>
      </w:r>
    </w:p>
    <w:p w14:paraId="3D000000">
      <w:pPr>
        <w:ind w:firstLine="0" w:left="709"/>
        <w:rPr>
          <w:sz w:val="28"/>
        </w:rPr>
      </w:pPr>
      <w:r>
        <w:rPr>
          <w:sz w:val="28"/>
        </w:rPr>
        <w:t>ИНН 4101120894; КПП 410101001</w:t>
      </w:r>
    </w:p>
    <w:p w14:paraId="3E000000">
      <w:pPr>
        <w:ind w:firstLine="0" w:left="709"/>
        <w:rPr>
          <w:b w:val="1"/>
          <w:sz w:val="28"/>
        </w:rPr>
      </w:pPr>
      <w:r>
        <w:rPr>
          <w:sz w:val="28"/>
        </w:rPr>
        <w:t>ОКТМО</w:t>
      </w:r>
      <w:r>
        <w:rPr>
          <w:b w:val="1"/>
          <w:sz w:val="28"/>
        </w:rPr>
        <w:t xml:space="preserve"> </w:t>
      </w:r>
      <w:r>
        <w:rPr>
          <w:sz w:val="28"/>
        </w:rPr>
        <w:t>30701000</w:t>
      </w:r>
      <w:r>
        <w:rPr>
          <w:sz w:val="28"/>
        </w:rPr>
        <w:t>.</w:t>
      </w:r>
    </w:p>
    <w:p w14:paraId="3F000000">
      <w:pPr>
        <w:tabs>
          <w:tab w:leader="none" w:pos="993" w:val="left"/>
          <w:tab w:leader="none" w:pos="1276" w:val="left"/>
        </w:tabs>
        <w:ind w:firstLine="709" w:left="0"/>
        <w:contextualSpacing w:val="1"/>
        <w:jc w:val="both"/>
        <w:rPr>
          <w:sz w:val="28"/>
        </w:rPr>
      </w:pPr>
      <w:r>
        <w:rPr>
          <w:sz w:val="28"/>
        </w:rPr>
        <w:t>Оформление л</w:t>
      </w:r>
      <w:r>
        <w:rPr>
          <w:sz w:val="28"/>
        </w:rPr>
        <w:t>ицензии на пользование недрами в форме электронного д</w:t>
      </w:r>
      <w:r>
        <w:rPr>
          <w:sz w:val="28"/>
        </w:rPr>
        <w:t>окумента осуществляется уполномоченным должностным лицом Министерства и не должно превышать 1 рабочий день с даты уплаты лицом, в отношении которого осуществляется оформление лицензии на пользование недр</w:t>
      </w:r>
      <w:r>
        <w:rPr>
          <w:sz w:val="28"/>
        </w:rPr>
        <w:t>ами, окончательного размера разового платежа за пользование недрами по результатам аукциона и государственной пошлины.</w:t>
      </w:r>
    </w:p>
    <w:p w14:paraId="40000000">
      <w:pPr>
        <w:pStyle w:val="Style_3"/>
        <w:widowControl w:val="0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Победителю аукциона будет предоставлено право пользования участк</w:t>
      </w:r>
      <w:r>
        <w:rPr>
          <w:sz w:val="28"/>
        </w:rPr>
        <w:t>ами</w:t>
      </w:r>
      <w:r>
        <w:rPr>
          <w:sz w:val="28"/>
        </w:rPr>
        <w:t xml:space="preserve"> недр местного значения </w:t>
      </w:r>
      <w:r>
        <w:rPr>
          <w:spacing w:val="-1"/>
          <w:sz w:val="28"/>
        </w:rPr>
        <w:t>«Сопка Лысая-1» и «Сопка Лысая-2»</w:t>
      </w:r>
      <w:r>
        <w:rPr>
          <w:spacing w:val="-1"/>
          <w:sz w:val="28"/>
        </w:rPr>
        <w:t xml:space="preserve"> месторождения Сопка Лысая </w:t>
      </w:r>
      <w:r>
        <w:rPr>
          <w:sz w:val="28"/>
        </w:rPr>
        <w:t>с целью разведки и добычи</w:t>
      </w:r>
      <w:r>
        <w:rPr>
          <w:sz w:val="28"/>
        </w:rPr>
        <w:t xml:space="preserve"> </w:t>
      </w:r>
      <w:r>
        <w:rPr>
          <w:sz w:val="28"/>
        </w:rPr>
        <w:t>песка</w:t>
      </w:r>
      <w:r>
        <w:rPr>
          <w:sz w:val="28"/>
        </w:rPr>
        <w:t xml:space="preserve"> </w:t>
      </w:r>
      <w:r>
        <w:rPr>
          <w:sz w:val="28"/>
        </w:rPr>
        <w:t xml:space="preserve">строительного </w:t>
      </w:r>
      <w:r>
        <w:rPr>
          <w:sz w:val="28"/>
        </w:rPr>
        <w:t xml:space="preserve">путем оформления и выдачи лицензии на пользование недрами </w:t>
      </w:r>
      <w:r>
        <w:rPr>
          <w:sz w:val="28"/>
        </w:rPr>
        <w:t xml:space="preserve">на срок 20 лет. </w:t>
      </w:r>
    </w:p>
    <w:p w14:paraId="4100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Срок пользования участками недр местного значения исчисляется со дня государственной регистрации лицензии. </w:t>
      </w:r>
    </w:p>
    <w:p w14:paraId="42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К участию в аукционе допускаются субъекты предпринимательской деятельности, в том чис</w:t>
      </w:r>
      <w:r>
        <w:rPr>
          <w:sz w:val="28"/>
        </w:rPr>
        <w:t xml:space="preserve">ле юридические лица, </w:t>
      </w:r>
      <w:r>
        <w:rPr>
          <w:sz w:val="28"/>
        </w:rPr>
        <w:t>созданные в соответствии с законодательством Российской Федерации, индиви</w:t>
      </w:r>
      <w:r>
        <w:rPr>
          <w:sz w:val="28"/>
        </w:rPr>
        <w:t xml:space="preserve">дуальные предприниматели, являющиеся гражданами Российской Федерации, </w:t>
      </w:r>
      <w:r>
        <w:rPr>
          <w:sz w:val="28"/>
        </w:rPr>
        <w:t xml:space="preserve">способные обеспечить эффективное и безопасное проведение работ при разведке и добыче </w:t>
      </w:r>
      <w:r>
        <w:rPr>
          <w:sz w:val="28"/>
        </w:rPr>
        <w:t>песчано-гравийной смеси</w:t>
      </w:r>
      <w:r>
        <w:rPr>
          <w:sz w:val="28"/>
        </w:rPr>
        <w:t xml:space="preserve"> </w:t>
      </w:r>
      <w:r>
        <w:rPr>
          <w:sz w:val="28"/>
        </w:rPr>
        <w:t xml:space="preserve">на участке недр, обладающие квалифицированными специалистами, необходимыми финансовыми и техническими средствами. </w:t>
      </w:r>
    </w:p>
    <w:p w14:paraId="43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В случае возникновения обстоятельств, препятствующих проведению аукциона в день и (или) время, установленные порядком и условиями проведения аукциона, организатором аукциона или председателем аукционной комиссии принимается решение о переносе даты и (или) времени проведения аукциона.</w:t>
      </w:r>
    </w:p>
    <w:p w14:paraId="44000000">
      <w:pPr>
        <w:widowControl w:val="0"/>
        <w:tabs>
          <w:tab w:leader="none" w:pos="1134" w:val="left"/>
        </w:tabs>
        <w:ind w:firstLine="539" w:left="0"/>
        <w:jc w:val="both"/>
        <w:rPr>
          <w:sz w:val="28"/>
        </w:rPr>
      </w:pPr>
      <w:r>
        <w:rPr>
          <w:sz w:val="28"/>
        </w:rPr>
        <w:t xml:space="preserve">В случае, если решение о внесении изменений в порядок и условия проведения аукциона в целях переноса даты и (или) времени проведения аукциона принимается организатором аукциона до окончания срока подачи заявок, то при переносе даты проведения аукциона устанавливается новый срок подачи заявок, при этом </w:t>
      </w:r>
      <w:r>
        <w:rPr>
          <w:sz w:val="28"/>
        </w:rPr>
        <w:t xml:space="preserve">срок подачи заявок продлевается таким образом, чтобы со дня размещения изменений на официальном сайте этот срок составлял не менее 5 дней. </w:t>
      </w:r>
    </w:p>
    <w:p w14:paraId="45000000">
      <w:pPr>
        <w:widowControl w:val="0"/>
        <w:tabs>
          <w:tab w:leader="none" w:pos="1134" w:val="left"/>
        </w:tabs>
        <w:ind w:firstLine="539" w:left="0"/>
        <w:jc w:val="both"/>
        <w:rPr>
          <w:sz w:val="28"/>
        </w:rPr>
      </w:pPr>
      <w:r>
        <w:rPr>
          <w:sz w:val="28"/>
        </w:rPr>
        <w:t>В случае, если решение о переносе даты и (или) времени проведения аукциона принимается председателем аукционной комиссии после окончания срока подачи заявок, то срок подачи заявок не изменяется.</w:t>
      </w:r>
    </w:p>
    <w:p w14:paraId="46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Решение о переносе даты и (или) времени проведения аукциона размещается организатором аукциона на официальном сайте в течение одного дня со дня принятия указанного решения. Не позднее одного часа с момента размещения указанного решения на официальном сайте оператор электронной площадки размещает такое решение </w:t>
      </w:r>
      <w:r>
        <w:rPr>
          <w:sz w:val="28"/>
        </w:rPr>
        <w:t>на сайте электронной площадки.</w:t>
      </w:r>
    </w:p>
    <w:p w14:paraId="47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Организатор аукциона вправе принять решение о внесении изменений в порядок и условия проведения аукциона, решение о внесении изменений в регламент работы аукционной комиссии и решение о внесении изменений в требования к аукционной документации. При этом изменение границ участка </w:t>
      </w:r>
      <w:r>
        <w:rPr>
          <w:sz w:val="28"/>
        </w:rPr>
        <w:t xml:space="preserve">недр, являющегося объектом аукциона, а также увеличение размера задатка и сбора за участие в аукционе и минимального (стартового) размера разового платежа за пользование недрами не допускаются, за исключением случаев исправления технических ошибок или опечаток в указанных сведениях. Решение о внесении изменений в решение о проведении аукциона, решение о внесении изменений в порядок и условия проведения аукциона, решение о внесении изменений в регламент работы аукционной комиссии и решение о внесении изменений в требования к аукционной документации принимаются до дня окончания срока подачи заявок, за исключением случаев, указанных в </w:t>
      </w:r>
      <w:r>
        <w:rPr>
          <w:sz w:val="28"/>
        </w:rPr>
        <w:t>части</w:t>
      </w:r>
      <w:r>
        <w:rPr>
          <w:sz w:val="28"/>
        </w:rPr>
        <w:t xml:space="preserve"> </w:t>
      </w:r>
      <w:r>
        <w:rPr>
          <w:sz w:val="28"/>
        </w:rPr>
        <w:t>24</w:t>
      </w:r>
      <w:r>
        <w:rPr>
          <w:sz w:val="28"/>
        </w:rPr>
        <w:t xml:space="preserve"> П</w:t>
      </w:r>
      <w:r>
        <w:rPr>
          <w:sz w:val="28"/>
        </w:rPr>
        <w:t>орядка и условий</w:t>
      </w:r>
      <w:r>
        <w:rPr>
          <w:sz w:val="28"/>
        </w:rPr>
        <w:t xml:space="preserve"> проведения аукциона.</w:t>
      </w:r>
    </w:p>
    <w:p w14:paraId="48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В случае выявления технических ошибок или опечаток в решении о проведении аукциона, в порядке и условиях проведения аукциона, регламенте работы аукционной комиссии и требованиях к аукционной документации уполномоченный орган до дня проведения аукциона принимает решение о внесении изменений в такие решение. </w:t>
      </w:r>
    </w:p>
    <w:p w14:paraId="49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Соответствующие изменения размещаются организатором аукциона на официальном сайте до дня проведения аукциона, при этом срок подачи заявок не продлевается. Не позднее одного часа с момента размещения изменений на официальном сайте оператор электронной площадки размещает указанные изменения на сайте электронной площадки.</w:t>
      </w:r>
    </w:p>
    <w:p w14:paraId="4A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Оператор электронной площадки в день размещения решения о переносе даты и (или) времени проведения аукциона направляет уведомления заявителям и участникам аукциона.</w:t>
      </w:r>
    </w:p>
    <w:p w14:paraId="4B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Уполномоченный орган вправе принять решение об отмене аукциона. Решение об отмене аукциона размещается организатором аукциона на официальном сайте не позднее чем за 3</w:t>
      </w:r>
      <w:r>
        <w:rPr>
          <w:sz w:val="28"/>
        </w:rPr>
        <w:t xml:space="preserve"> рабочих дней </w:t>
      </w:r>
      <w:r>
        <w:rPr>
          <w:sz w:val="28"/>
        </w:rPr>
        <w:t xml:space="preserve">до дня окончания срока подачи заявок. Не позднее одного часа с момента размещения решения об отмене аукциона на официальном сайте оператор электронной площадки размещает указанное решение на сайте электронной площадки. </w:t>
      </w:r>
    </w:p>
    <w:p w14:paraId="4C000000">
      <w:pPr>
        <w:pStyle w:val="Style_3"/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Оператор электронной площадки возвращает заявителям заявки и прилагаемые к ним документы в течение одного часа с момента размещения решения об отмене аукциона на сайте электронной площадки с одновременным направлением заявителям уведомлений об отмене аукциона.</w:t>
      </w:r>
    </w:p>
    <w:p w14:paraId="4D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В случае возникновения обстоятельств непреодолимой силы в соответствии с гражданским законодательством, при наличии решения контрольного (надзорного) органа об устранении выявленных при организации и проведении аукциона нарушений, принятого по результатам контрольного (надзорного) мероприятия, или на основании вступившего в силу судебного акта решение об отмене аукциона может быть принято вплоть до дня проведения аукциона.</w:t>
      </w:r>
    </w:p>
    <w:p w14:paraId="4E000000">
      <w:pPr>
        <w:pStyle w:val="Style_3"/>
        <w:numPr>
          <w:ilvl w:val="0"/>
          <w:numId w:val="1"/>
        </w:numPr>
        <w:tabs>
          <w:tab w:leader="none" w:pos="1134" w:val="left"/>
          <w:tab w:leader="none" w:pos="1418" w:val="left"/>
        </w:tabs>
        <w:ind w:firstLine="709" w:left="0"/>
        <w:jc w:val="both"/>
        <w:rPr>
          <w:sz w:val="28"/>
        </w:rPr>
      </w:pPr>
      <w:r>
        <w:rPr>
          <w:sz w:val="28"/>
        </w:rPr>
        <w:t>Аукцион признается несостоявшимся в следующих случаях:</w:t>
      </w:r>
    </w:p>
    <w:p w14:paraId="4F000000">
      <w:pPr>
        <w:widowControl w:val="0"/>
        <w:numPr>
          <w:ilvl w:val="0"/>
          <w:numId w:val="3"/>
        </w:numPr>
        <w:tabs>
          <w:tab w:leader="none" w:pos="1134" w:val="left"/>
          <w:tab w:leader="none" w:pos="1260" w:val="clear"/>
          <w:tab w:leader="none" w:pos="1418" w:val="left"/>
        </w:tabs>
        <w:ind w:firstLine="709" w:left="0"/>
        <w:jc w:val="both"/>
        <w:rPr>
          <w:sz w:val="28"/>
        </w:rPr>
      </w:pPr>
      <w:r>
        <w:rPr>
          <w:sz w:val="28"/>
        </w:rPr>
        <w:t>отсутствие заявок на участие в аукционе;</w:t>
      </w:r>
    </w:p>
    <w:p w14:paraId="50000000">
      <w:pPr>
        <w:widowControl w:val="0"/>
        <w:numPr>
          <w:ilvl w:val="0"/>
          <w:numId w:val="3"/>
        </w:numPr>
        <w:tabs>
          <w:tab w:leader="none" w:pos="1134" w:val="left"/>
          <w:tab w:leader="none" w:pos="1260" w:val="clear"/>
          <w:tab w:leader="none" w:pos="1418" w:val="left"/>
        </w:tabs>
        <w:ind w:firstLine="709" w:left="0"/>
        <w:jc w:val="both"/>
        <w:rPr>
          <w:sz w:val="28"/>
        </w:rPr>
      </w:pPr>
      <w:r>
        <w:rPr>
          <w:sz w:val="28"/>
        </w:rPr>
        <w:t>на участие в аукционе зарегистрирована одна заявка;</w:t>
      </w:r>
    </w:p>
    <w:p w14:paraId="51000000">
      <w:pPr>
        <w:widowControl w:val="0"/>
        <w:numPr>
          <w:ilvl w:val="0"/>
          <w:numId w:val="3"/>
        </w:numPr>
        <w:tabs>
          <w:tab w:leader="none" w:pos="1134" w:val="left"/>
          <w:tab w:leader="none" w:pos="1260" w:val="clear"/>
          <w:tab w:leader="none" w:pos="1418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наличие единственного участника аукциона в связи с допуском к участию в аукционе только одного заявителя или в связи с участием в аукционе </w:t>
      </w:r>
      <w:r>
        <w:rPr>
          <w:sz w:val="28"/>
        </w:rPr>
        <w:t>только одного участника;</w:t>
      </w:r>
    </w:p>
    <w:p w14:paraId="52000000">
      <w:pPr>
        <w:widowControl w:val="0"/>
        <w:numPr>
          <w:ilvl w:val="0"/>
          <w:numId w:val="3"/>
        </w:numPr>
        <w:tabs>
          <w:tab w:leader="none" w:pos="1134" w:val="left"/>
          <w:tab w:leader="none" w:pos="1260" w:val="clear"/>
          <w:tab w:leader="none" w:pos="1418" w:val="left"/>
        </w:tabs>
        <w:ind w:firstLine="709" w:left="0"/>
        <w:jc w:val="both"/>
        <w:rPr>
          <w:sz w:val="28"/>
        </w:rPr>
      </w:pPr>
      <w:r>
        <w:rPr>
          <w:sz w:val="28"/>
        </w:rPr>
        <w:t>к участию в аукционе не допущены все заявители</w:t>
      </w:r>
      <w:r>
        <w:rPr>
          <w:sz w:val="28"/>
        </w:rPr>
        <w:t>;</w:t>
      </w:r>
    </w:p>
    <w:p w14:paraId="53000000">
      <w:pPr>
        <w:widowControl w:val="0"/>
        <w:numPr>
          <w:ilvl w:val="0"/>
          <w:numId w:val="3"/>
        </w:numPr>
        <w:tabs>
          <w:tab w:leader="none" w:pos="1134" w:val="left"/>
          <w:tab w:leader="none" w:pos="1260" w:val="clear"/>
          <w:tab w:leader="none" w:pos="1418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в ходе проведения аукциона не предложена величина разового платежа </w:t>
      </w:r>
      <w:r>
        <w:rPr>
          <w:sz w:val="28"/>
        </w:rPr>
        <w:t>за пользование недрами выше минимального (стартового) размера разового платежа за пользование недрами</w:t>
      </w:r>
      <w:r>
        <w:rPr>
          <w:sz w:val="28"/>
        </w:rPr>
        <w:t>.</w:t>
      </w:r>
    </w:p>
    <w:p w14:paraId="54000000">
      <w:pPr>
        <w:widowControl w:val="0"/>
        <w:ind w:firstLine="0" w:left="540"/>
        <w:jc w:val="both"/>
        <w:rPr>
          <w:sz w:val="28"/>
        </w:rPr>
      </w:pPr>
    </w:p>
    <w:p w14:paraId="55000000">
      <w:pPr>
        <w:ind/>
        <w:jc w:val="center"/>
        <w:rPr>
          <w:sz w:val="28"/>
        </w:rPr>
      </w:pPr>
      <w:r>
        <w:rPr>
          <w:sz w:val="28"/>
        </w:rPr>
        <w:t>Регламент работы аукционной комиссии</w:t>
      </w:r>
    </w:p>
    <w:p w14:paraId="56000000">
      <w:pPr>
        <w:tabs>
          <w:tab w:leader="none" w:pos="993" w:val="left"/>
          <w:tab w:leader="none" w:pos="1276" w:val="left"/>
        </w:tabs>
        <w:ind/>
        <w:jc w:val="both"/>
        <w:rPr>
          <w:sz w:val="28"/>
        </w:rPr>
      </w:pPr>
    </w:p>
    <w:p w14:paraId="57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Аукцион проводится аукционной комиссией в составе, утвержденном приказом Министерства о проведении аукциона. Состав аукционной комиссии утверждается уполномоченным органом в количестве не менее 7 человек. </w:t>
      </w:r>
      <w:r>
        <w:rPr>
          <w:sz w:val="28"/>
        </w:rPr>
        <w:t>Изменение состава аукционной комиссии допускается в связи с невозможностью участия члена аукционной комиссии в ее заседаниях вследствие отпуска, командировки, болезни или при наличии обстоятельств, не позволяющих принять участие в работе аукционной комиссии.</w:t>
      </w:r>
    </w:p>
    <w:p w14:paraId="58000000">
      <w:pPr>
        <w:tabs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Решение об изменении состава аукционной комиссии принимается уполномоченным органом.</w:t>
      </w:r>
    </w:p>
    <w:p w14:paraId="59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Членами аукционной комиссии не могут быть лица, лично заинтересованные в результатах аукциона, либо лица, аффилированные с заявителями, в том числе лица, состоящие в штате заявителей, либо лица, на которых заявители способны оказать влияние. </w:t>
      </w:r>
    </w:p>
    <w:p w14:paraId="5A000000">
      <w:pPr>
        <w:pStyle w:val="Style_3"/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В случае выявления в составе аукционной комиссии указанных лиц решение об изменении состава аукционной комиссии принимается в срок не позднее 1 рабочего дня со дня выявления указанного обстоятельства.</w:t>
      </w:r>
    </w:p>
    <w:p w14:paraId="5B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Руководит деятельностью аукционной комиссии и председательствует на ее заседаниях председатель аукционной комиссии. В отсутствие председателя аукционной комиссии его функции выполняет заместитель председателя аукционной комиссии.</w:t>
      </w:r>
    </w:p>
    <w:p w14:paraId="5C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Заседание аукционной комиссии правомочно, если на нем присутствует более половины членов ее списочного состава, но не менее пяти человек.</w:t>
      </w:r>
    </w:p>
    <w:p w14:paraId="5D000000">
      <w:pPr>
        <w:pStyle w:val="Style_5"/>
        <w:ind w:firstLine="708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Заседание аукционной комиссии может проводиться как в очной форме, так и (или) посредством видеоконференцсвязи.</w:t>
      </w:r>
    </w:p>
    <w:p w14:paraId="5E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Передача в любой форме (в том числе нотариально удостоверенной) членами аукционной комиссии полномочий по принятию решений, отнесенных к компетенции аукционной комиссии, другим ее членам или третьим лицам не допускается.</w:t>
      </w:r>
    </w:p>
    <w:p w14:paraId="5F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Решение аукционной комиссии считается принятым, если за него проголосовало более половины членов ее списочного состава, но не менее 4 членов аукционной комиссии. В случае равенства голосов решающим является голос председательствующего на заседании аукционной комиссии.</w:t>
      </w:r>
    </w:p>
    <w:p w14:paraId="60000000">
      <w:pPr>
        <w:ind/>
        <w:jc w:val="center"/>
        <w:rPr>
          <w:sz w:val="28"/>
        </w:rPr>
      </w:pPr>
    </w:p>
    <w:p w14:paraId="61000000">
      <w:pPr>
        <w:ind/>
        <w:jc w:val="center"/>
        <w:rPr>
          <w:sz w:val="28"/>
        </w:rPr>
      </w:pPr>
      <w:r>
        <w:rPr>
          <w:sz w:val="28"/>
        </w:rPr>
        <w:t xml:space="preserve">Порядок подачи заявок </w:t>
      </w:r>
    </w:p>
    <w:p w14:paraId="62000000">
      <w:pPr>
        <w:rPr>
          <w:sz w:val="28"/>
        </w:rPr>
      </w:pPr>
      <w:bookmarkStart w:id="3" w:name="P133"/>
      <w:bookmarkEnd w:id="3"/>
    </w:p>
    <w:p w14:paraId="63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Перед подачей заявки лицо, желающее принять участие в аукционе, перечисляет задаток и сбор за участие в аукционе в размере и по реквизитам, которые указаны в пункте 11 </w:t>
      </w:r>
      <w:r>
        <w:rPr>
          <w:sz w:val="28"/>
        </w:rPr>
        <w:t>части</w:t>
      </w:r>
      <w:r>
        <w:rPr>
          <w:sz w:val="28"/>
        </w:rPr>
        <w:t xml:space="preserve"> </w:t>
      </w:r>
      <w:r>
        <w:rPr>
          <w:sz w:val="28"/>
        </w:rPr>
        <w:t>3</w:t>
      </w:r>
      <w:r>
        <w:rPr>
          <w:sz w:val="28"/>
        </w:rPr>
        <w:t xml:space="preserve"> Порядка и условий проведения аукциона. Уплата задатка и сбора за участие в аукционе является обязательным условием допуска заявителя к участию в аукционе.</w:t>
      </w:r>
    </w:p>
    <w:p w14:paraId="64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Датой внесения задатка является дата зачисления денежных средств в сумме, указанной в </w:t>
      </w:r>
      <w:r>
        <w:rPr>
          <w:sz w:val="28"/>
        </w:rPr>
        <w:t>части</w:t>
      </w:r>
      <w:r>
        <w:rPr>
          <w:sz w:val="28"/>
        </w:rPr>
        <w:t xml:space="preserve"> 1</w:t>
      </w:r>
      <w:r>
        <w:rPr>
          <w:sz w:val="28"/>
        </w:rPr>
        <w:t>6</w:t>
      </w:r>
      <w:r>
        <w:rPr>
          <w:sz w:val="28"/>
        </w:rPr>
        <w:t xml:space="preserve"> Порядка и условий проведения аукциона, по реквизитам, указанным в </w:t>
      </w:r>
      <w:r>
        <w:rPr>
          <w:sz w:val="28"/>
        </w:rPr>
        <w:t xml:space="preserve">пункте 11 части </w:t>
      </w:r>
      <w:r>
        <w:rPr>
          <w:sz w:val="28"/>
        </w:rPr>
        <w:t>3</w:t>
      </w:r>
      <w:r>
        <w:rPr>
          <w:sz w:val="28"/>
        </w:rPr>
        <w:t xml:space="preserve"> </w:t>
      </w:r>
      <w:r>
        <w:rPr>
          <w:sz w:val="28"/>
        </w:rPr>
        <w:t>Порядка и условий проведения аукциона.</w:t>
      </w:r>
    </w:p>
    <w:p w14:paraId="65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bookmarkStart w:id="4" w:name="P151"/>
      <w:bookmarkEnd w:id="4"/>
      <w:r>
        <w:rPr>
          <w:sz w:val="28"/>
        </w:rPr>
        <w:t>Сумма задатка, внесенная победителем аукциона, единственным заявителем или единственным участником аукциона, которому предоставляется право пользования участком недр, засчитывается в счет окончательного размера разового платежа за пользование недрами.</w:t>
      </w:r>
    </w:p>
    <w:p w14:paraId="66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Заявителю и участнику аукциона, за исключением победителя аукциона, единственного заявителя или единственного участника аукциона, которым предоставляется право пользования участком недр в случае признания аукциона несостоявшимся, задаток возвращается в течение 5 рабочих дней со дня размещения на официальном сайте и на сайте электронной площадки протокола о результатах аукциона или протокола рассмотрения заявок на участие в аукционе соответственно.</w:t>
      </w:r>
    </w:p>
    <w:p w14:paraId="67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В случае отмены проведения аукциона задаток возвращается заявителю и участнику аукциона в течение 5 рабочих дней со дня размещения на официальном сайте и на сайте электронной площадки решения Министерства об отмене проведения аукциона.</w:t>
      </w:r>
    </w:p>
    <w:p w14:paraId="68000000">
      <w:pPr>
        <w:widowControl w:val="0"/>
        <w:ind w:firstLine="709" w:left="0"/>
        <w:jc w:val="both"/>
        <w:rPr>
          <w:sz w:val="28"/>
        </w:rPr>
      </w:pPr>
      <w:r>
        <w:rPr>
          <w:sz w:val="28"/>
        </w:rPr>
        <w:t>Задаток победителю аукциона, не уплатившему окончательный размер разового платежа за пользование недрами в течение 30 дней со дня размещения на официальном сайте протокола о результатах аукциона, протокола рассмотрения заявок на участие в аукционе, и (или) в размере, установленном протоколом о результатах аукциона, не возвращается.</w:t>
      </w:r>
    </w:p>
    <w:p w14:paraId="69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Датой внесения сбора за участие в аукционе является дата зачисления денежных средств в сумме, указанной в </w:t>
      </w:r>
      <w:r>
        <w:rPr>
          <w:sz w:val="28"/>
        </w:rPr>
        <w:t>части</w:t>
      </w:r>
      <w:r>
        <w:rPr>
          <w:sz w:val="28"/>
        </w:rPr>
        <w:t xml:space="preserve"> </w:t>
      </w:r>
      <w:r>
        <w:rPr>
          <w:sz w:val="28"/>
        </w:rPr>
        <w:t>1</w:t>
      </w:r>
      <w:r>
        <w:rPr>
          <w:sz w:val="28"/>
        </w:rPr>
        <w:t>7</w:t>
      </w:r>
      <w:r>
        <w:rPr>
          <w:sz w:val="28"/>
        </w:rPr>
        <w:t xml:space="preserve"> Порядка и условий проведения аукциона</w:t>
      </w:r>
      <w:r>
        <w:rPr>
          <w:sz w:val="28"/>
        </w:rPr>
        <w:t xml:space="preserve">, по реквизитам, указанным в </w:t>
      </w:r>
      <w:r>
        <w:rPr>
          <w:sz w:val="28"/>
        </w:rPr>
        <w:t xml:space="preserve">пункте 11 </w:t>
      </w:r>
      <w:r>
        <w:rPr>
          <w:sz w:val="28"/>
        </w:rPr>
        <w:t>части</w:t>
      </w:r>
      <w:r>
        <w:rPr>
          <w:sz w:val="28"/>
        </w:rPr>
        <w:t xml:space="preserve"> </w:t>
      </w:r>
      <w:r>
        <w:rPr>
          <w:sz w:val="28"/>
        </w:rPr>
        <w:t>3</w:t>
      </w:r>
      <w:r>
        <w:rPr>
          <w:sz w:val="28"/>
        </w:rPr>
        <w:t xml:space="preserve"> Порядка и условий проведения аукциона.</w:t>
      </w:r>
    </w:p>
    <w:p w14:paraId="6A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Сбор за участие в аукционе независимо от результатов проведения аукциона заявителю не возвращается, за исключением случаев отзыва заявки заявителем, отказа в приеме заявки аукционной комиссией и отмены проведения аукциона, а также случаев признания судом по иску заинтересованного лица недействительным аукциона, проведенного с нарушением требований, установленных настоящим Порядком и условиями проведения аукциона.</w:t>
      </w:r>
    </w:p>
    <w:p w14:paraId="6B000000">
      <w:pPr>
        <w:pStyle w:val="Style_3"/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Сбор за участие в аукционе возвращается заявителю в следующем порядке:</w:t>
      </w:r>
    </w:p>
    <w:p w14:paraId="6C000000">
      <w:pPr>
        <w:pStyle w:val="Style_3"/>
        <w:widowControl w:val="0"/>
        <w:numPr>
          <w:ilvl w:val="0"/>
          <w:numId w:val="4"/>
        </w:numPr>
        <w:tabs>
          <w:tab w:leader="none" w:pos="1134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>в случае отзыва заявки заявителем – в течение 5 рабочих дней со дня получения оператором электронной площадки уведомления заявителя об отзыве заявки;</w:t>
      </w:r>
    </w:p>
    <w:p w14:paraId="6D000000">
      <w:pPr>
        <w:pStyle w:val="Style_3"/>
        <w:widowControl w:val="0"/>
        <w:numPr>
          <w:ilvl w:val="0"/>
          <w:numId w:val="4"/>
        </w:numPr>
        <w:tabs>
          <w:tab w:leader="none" w:pos="1134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>в случае отказа в приеме заявки аукционной комиссией – в течение 5 рабочих дней со дня размещения на официальном сайте и на сайте электронной площадки протокола рассмотрения заявок на участие в аукционе;</w:t>
      </w:r>
    </w:p>
    <w:p w14:paraId="6E000000">
      <w:pPr>
        <w:pStyle w:val="Style_3"/>
        <w:widowControl w:val="0"/>
        <w:numPr>
          <w:ilvl w:val="0"/>
          <w:numId w:val="4"/>
        </w:numPr>
        <w:tabs>
          <w:tab w:leader="none" w:pos="1134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>в случае отмены проведения аукциона – в течение 5 рабочих дней со дня размещения на официальном сайте и на сайте электронной площадки решения уполномоченного органа об отмене проведения аукциона;</w:t>
      </w:r>
    </w:p>
    <w:p w14:paraId="6F000000">
      <w:pPr>
        <w:pStyle w:val="Style_3"/>
        <w:widowControl w:val="0"/>
        <w:numPr>
          <w:ilvl w:val="0"/>
          <w:numId w:val="4"/>
        </w:numPr>
        <w:tabs>
          <w:tab w:leader="none" w:pos="1134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 xml:space="preserve">в случае признания судом по иску заинтересованного лица недействительным аукциона, проведенного с нарушением требований, установленных настоящим приказом, – в порядке, предусмотренном </w:t>
      </w:r>
      <w:r>
        <w:rPr>
          <w:sz w:val="28"/>
        </w:rPr>
        <w:fldChar w:fldCharType="begin"/>
      </w:r>
      <w:r>
        <w:rPr>
          <w:sz w:val="28"/>
        </w:rPr>
        <w:instrText>HYPERLINK "consultantplus://offline/ref=B080A55EEAA5E55DF447DAC5FB40C0C815C40190FA7685FA3C95CF62FB9F7F358CD399671AD453F5BAD78A6A2AECD920AB29CA3E1889Y3R1E"</w:instrText>
      </w:r>
      <w:r>
        <w:rPr>
          <w:sz w:val="28"/>
        </w:rPr>
        <w:fldChar w:fldCharType="separate"/>
      </w:r>
      <w:r>
        <w:rPr>
          <w:sz w:val="28"/>
        </w:rPr>
        <w:t>статьей 242.1</w:t>
      </w:r>
      <w:r>
        <w:rPr>
          <w:sz w:val="28"/>
        </w:rPr>
        <w:fldChar w:fldCharType="end"/>
      </w:r>
      <w:r>
        <w:rPr>
          <w:sz w:val="28"/>
        </w:rPr>
        <w:t xml:space="preserve"> Бюджетного кодекса Российской Федерации.</w:t>
      </w:r>
    </w:p>
    <w:p w14:paraId="70000000">
      <w:pPr>
        <w:pStyle w:val="Style_3"/>
        <w:numPr>
          <w:ilvl w:val="0"/>
          <w:numId w:val="1"/>
        </w:numPr>
        <w:tabs>
          <w:tab w:leader="none" w:pos="993" w:val="left"/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>Суммы задатков и сборов за участие в аукционе, которые не были возвращены заявителям и участникам аукциона по вышеперечисленным основаниям, оператор электронной площадки перечисляет в бюджет Камчатского края в течение 5 рабочих дней со дня размещения на официальном сайте и на электронной площадке протокола о результатах аукциона, протокола рассмотрения заявок на участие в аукционе.</w:t>
      </w:r>
    </w:p>
    <w:p w14:paraId="71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Любое лицо, зарегистрированное на электронной площадке, вправе направить с использованием программно-аппаратных средств электронной площадки запрос о разъяснении содержания решения о проведении аукциона, порядка и условий проведения аукциона и требований к аукционной документации (далее – запрос). При этом указанное лицо вправе направить не более чем 3 запроса в отношении одного аукциона.</w:t>
      </w:r>
    </w:p>
    <w:p w14:paraId="72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Прием заявки и прилагаемых к ней документов осуществляется в сроки, установленные настоящим Порядком и условиями проведения аукциона.</w:t>
      </w:r>
    </w:p>
    <w:p w14:paraId="73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Заявка подается путем заполнения заявителем, прошедшим регистрацию на электронной площадке в соответствии с регламентом электронной площадки, электронной формы заявки, установленной требованиями к аукционной документации и подписываемой с использованием усиленной квалифицированной электронной подписи заявителя либо лица, имеющего право действовать от имени заявителя, с приложением следующих электронных документов:</w:t>
      </w:r>
    </w:p>
    <w:p w14:paraId="74000000">
      <w:pPr>
        <w:pStyle w:val="Style_3"/>
        <w:widowControl w:val="0"/>
        <w:numPr>
          <w:ilvl w:val="0"/>
          <w:numId w:val="5"/>
        </w:numPr>
        <w:tabs>
          <w:tab w:leader="none" w:pos="1276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>документ, подтверждающий полномочия лица на осуществление действий от имени заявителя – юридического лица (копия решения о назначении или об избрании либо копия приказа о назначении физического лица на должность, в соответствии с которыми такое физическое лицо обладает правом действовать от имени заявителя без доверенности (далее – руководитель); в случае если от имени заявителя действует иное лицо, заявка должна содержать также доверенность на осуществление действий от имени заявителя, заверенную печатью заявителя (при наличии) и подписанную руководителем или иным уполномоченным руководителем лицом;</w:t>
      </w:r>
    </w:p>
    <w:p w14:paraId="75000000">
      <w:pPr>
        <w:pStyle w:val="Style_3"/>
        <w:widowControl w:val="0"/>
        <w:numPr>
          <w:ilvl w:val="0"/>
          <w:numId w:val="5"/>
        </w:numPr>
        <w:tabs>
          <w:tab w:leader="none" w:pos="1276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>заверенная заявителем копия решения уполномоченных органов управления заявителя о назначении единоличного исполнительного органа заявителя;</w:t>
      </w:r>
    </w:p>
    <w:p w14:paraId="76000000">
      <w:pPr>
        <w:pStyle w:val="Style_3"/>
        <w:widowControl w:val="0"/>
        <w:numPr>
          <w:ilvl w:val="0"/>
          <w:numId w:val="5"/>
        </w:numPr>
        <w:tabs>
          <w:tab w:leader="none" w:pos="1276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 xml:space="preserve">перечень лиц, входящих в одну группу лиц с заявителем, по форме, утвержденной Федеральной антимонопольной службой, – для юридического </w:t>
      </w:r>
      <w:r>
        <w:rPr>
          <w:sz w:val="28"/>
        </w:rPr>
        <w:t>лица, а также выписка из реестра акционеров заявителя, полученная (оформленная) не ранее чем за один месяц до дня подачи заявки (для акционерного общества);</w:t>
      </w:r>
    </w:p>
    <w:p w14:paraId="77000000">
      <w:pPr>
        <w:pStyle w:val="Style_3"/>
        <w:widowControl w:val="0"/>
        <w:numPr>
          <w:ilvl w:val="0"/>
          <w:numId w:val="5"/>
        </w:numPr>
        <w:tabs>
          <w:tab w:leader="none" w:pos="1276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>справка с указанием следующих сведений:</w:t>
      </w:r>
    </w:p>
    <w:p w14:paraId="78000000">
      <w:pPr>
        <w:pStyle w:val="Style_3"/>
        <w:widowControl w:val="0"/>
        <w:numPr>
          <w:ilvl w:val="0"/>
          <w:numId w:val="6"/>
        </w:numPr>
        <w:tabs>
          <w:tab w:leader="none" w:pos="1134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>для юридического лица – полное наименование, организационно-правовая форма, основной государственный регистрационный номер и идентификационный номер налогоплательщика;</w:t>
      </w:r>
    </w:p>
    <w:p w14:paraId="79000000">
      <w:pPr>
        <w:pStyle w:val="Style_3"/>
        <w:widowControl w:val="0"/>
        <w:numPr>
          <w:ilvl w:val="0"/>
          <w:numId w:val="6"/>
        </w:numPr>
        <w:tabs>
          <w:tab w:leader="none" w:pos="1134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>для индивидуального предпринимателя – фамилия, имя, отчество (при наличии), основной государственный регистрационный номер индивидуального предпринимателя и идентификационный номер налогоплательщика;</w:t>
      </w:r>
    </w:p>
    <w:p w14:paraId="7A000000">
      <w:pPr>
        <w:pStyle w:val="Style_3"/>
        <w:widowControl w:val="0"/>
        <w:numPr>
          <w:ilvl w:val="0"/>
          <w:numId w:val="5"/>
        </w:numPr>
        <w:tabs>
          <w:tab w:leader="none" w:pos="1134" w:val="left"/>
          <w:tab w:leader="none" w:pos="1276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>решение уполномоченного органа управления заявителя об участии в аукционе;</w:t>
      </w:r>
    </w:p>
    <w:p w14:paraId="7B000000">
      <w:pPr>
        <w:pStyle w:val="Style_3"/>
        <w:widowControl w:val="0"/>
        <w:numPr>
          <w:ilvl w:val="0"/>
          <w:numId w:val="5"/>
        </w:numPr>
        <w:tabs>
          <w:tab w:leader="none" w:pos="1134" w:val="left"/>
          <w:tab w:leader="none" w:pos="1276" w:val="left"/>
        </w:tabs>
        <w:spacing w:before="220"/>
        <w:ind w:firstLine="709" w:left="0"/>
        <w:jc w:val="both"/>
        <w:rPr>
          <w:sz w:val="28"/>
        </w:rPr>
      </w:pPr>
      <w:bookmarkStart w:id="5" w:name="P173"/>
      <w:bookmarkEnd w:id="5"/>
      <w:r>
        <w:rPr>
          <w:sz w:val="28"/>
        </w:rPr>
        <w:t>данные о том, что заявитель обладает или будет обладать финансовыми средствами, необходимыми для эффективного и безопасного осуществления пользования недрами:</w:t>
      </w:r>
    </w:p>
    <w:p w14:paraId="7C000000">
      <w:pPr>
        <w:pStyle w:val="Style_3"/>
        <w:widowControl w:val="0"/>
        <w:numPr>
          <w:ilvl w:val="0"/>
          <w:numId w:val="6"/>
        </w:numPr>
        <w:tabs>
          <w:tab w:leader="none" w:pos="1134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>копия годовой бухгалтерской (финансовой) отчетности (с приложением всех обязательных форм) за последний отчетный период, предшествующий дате подачи заявки, или за предыдущий отчетный период, предшествующий дате подачи заявки, в случае если сроки представления годовой бухгалтерской (финансовой) отчетности за последний отчетный период на день подачи заявки не истекли, с отметкой налогового органа о ее принятии или с приложением заверенных заявителем квитанций, подтверждающих прием налоговым органом бухгалтерской (финансовой) отчетности;</w:t>
      </w:r>
    </w:p>
    <w:p w14:paraId="7D000000">
      <w:pPr>
        <w:pStyle w:val="Style_3"/>
        <w:widowControl w:val="0"/>
        <w:numPr>
          <w:ilvl w:val="0"/>
          <w:numId w:val="6"/>
        </w:numPr>
        <w:tabs>
          <w:tab w:leader="none" w:pos="1134" w:val="left"/>
        </w:tabs>
        <w:spacing w:before="220"/>
        <w:ind w:firstLine="709" w:left="0"/>
        <w:jc w:val="both"/>
        <w:rPr>
          <w:sz w:val="28"/>
        </w:rPr>
      </w:pPr>
      <w:bookmarkStart w:id="6" w:name="P175"/>
      <w:bookmarkEnd w:id="6"/>
      <w:r>
        <w:rPr>
          <w:sz w:val="28"/>
        </w:rPr>
        <w:t>справки из банка об оборотах денежных средств по счетам заявителя в течение месяца, предшествующего месяцу подачи заявки, и остатке денежных средств на счетах заявителя;</w:t>
      </w:r>
    </w:p>
    <w:p w14:paraId="7E000000">
      <w:pPr>
        <w:pStyle w:val="Style_3"/>
        <w:widowControl w:val="0"/>
        <w:numPr>
          <w:ilvl w:val="0"/>
          <w:numId w:val="6"/>
        </w:numPr>
        <w:tabs>
          <w:tab w:leader="none" w:pos="1134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 xml:space="preserve">договоры (копии договоров) займа, заключенные на день подачи заявки, в том числе заключенные под отлагательным условием в соответствии со </w:t>
      </w:r>
      <w:r>
        <w:rPr>
          <w:sz w:val="28"/>
        </w:rPr>
        <w:fldChar w:fldCharType="begin"/>
      </w:r>
      <w:r>
        <w:rPr>
          <w:sz w:val="28"/>
        </w:rPr>
        <w:instrText>HYPERLINK "consultantplus://offline/ref=B080A55EEAA5E55DF447DAC5FB40C0C815C40092FD7085FA3C95CF62FB9F7F358CD399641CD253FEEC8D9A6E63B8D13FAE34D43F068933B8YAR9E"</w:instrText>
      </w:r>
      <w:r>
        <w:rPr>
          <w:sz w:val="28"/>
        </w:rPr>
        <w:fldChar w:fldCharType="separate"/>
      </w:r>
      <w:r>
        <w:rPr>
          <w:sz w:val="28"/>
        </w:rPr>
        <w:t>статьей 157</w:t>
      </w:r>
      <w:r>
        <w:rPr>
          <w:sz w:val="28"/>
        </w:rPr>
        <w:fldChar w:fldCharType="end"/>
      </w:r>
      <w:r>
        <w:rPr>
          <w:sz w:val="28"/>
        </w:rPr>
        <w:t xml:space="preserve"> Гражданского кодекса Российской Федерации, с приложением справки из банка об остатках денежных средств на счетах займодавцев в размере, достаточном для исполнения их обязательств по представленным договорам займа, которые не исполнены на момент подачи заявки (в случае привлечения финансовых средств по договорам займа);</w:t>
      </w:r>
    </w:p>
    <w:p w14:paraId="7F000000">
      <w:pPr>
        <w:pStyle w:val="Style_3"/>
        <w:widowControl w:val="0"/>
        <w:numPr>
          <w:ilvl w:val="0"/>
          <w:numId w:val="6"/>
        </w:numPr>
        <w:tabs>
          <w:tab w:leader="none" w:pos="1134" w:val="left"/>
        </w:tabs>
        <w:spacing w:before="220"/>
        <w:ind w:firstLine="709" w:left="0"/>
        <w:jc w:val="both"/>
        <w:rPr>
          <w:sz w:val="28"/>
        </w:rPr>
      </w:pPr>
      <w:bookmarkStart w:id="7" w:name="P177"/>
      <w:bookmarkEnd w:id="7"/>
      <w:r>
        <w:rPr>
          <w:sz w:val="28"/>
        </w:rPr>
        <w:t xml:space="preserve">кредитные договоры (копии кредитных договоров), заключенные на день подачи заявки, в том числе заключенные под отлагательным условием в соответствии со </w:t>
      </w:r>
      <w:r>
        <w:rPr>
          <w:sz w:val="28"/>
        </w:rPr>
        <w:fldChar w:fldCharType="begin"/>
      </w:r>
      <w:r>
        <w:rPr>
          <w:sz w:val="28"/>
        </w:rPr>
        <w:instrText>HYPERLINK "consultantplus://offline/ref=B080A55EEAA5E55DF447DAC5FB40C0C815C40092FD7085FA3C95CF62FB9F7F358CD399641CD253FEEC8D9A6E63B8D13FAE34D43F068933B8YAR9E"</w:instrText>
      </w:r>
      <w:r>
        <w:rPr>
          <w:sz w:val="28"/>
        </w:rPr>
        <w:fldChar w:fldCharType="separate"/>
      </w:r>
      <w:r>
        <w:rPr>
          <w:sz w:val="28"/>
        </w:rPr>
        <w:t>статьей 157</w:t>
      </w:r>
      <w:r>
        <w:rPr>
          <w:sz w:val="28"/>
        </w:rPr>
        <w:fldChar w:fldCharType="end"/>
      </w:r>
      <w:r>
        <w:rPr>
          <w:sz w:val="28"/>
        </w:rPr>
        <w:t xml:space="preserve"> Гражданского кодекса Российской Федерации (в случае привлечения финансовых средств по договорам кредита), при этом сумма финансовых средств, которыми обладает или будет обладать заявитель, должна быть подтверждена в размере не менее двойного минимального (стартового) размера разового платежа за пользование недрами, установленного порядком и условиями проведения аукциона;</w:t>
      </w:r>
    </w:p>
    <w:p w14:paraId="80000000">
      <w:pPr>
        <w:pStyle w:val="Style_3"/>
        <w:widowControl w:val="0"/>
        <w:numPr>
          <w:ilvl w:val="0"/>
          <w:numId w:val="5"/>
        </w:numPr>
        <w:tabs>
          <w:tab w:leader="none" w:pos="1134" w:val="left"/>
          <w:tab w:leader="none" w:pos="1276" w:val="left"/>
        </w:tabs>
        <w:spacing w:before="220"/>
        <w:ind w:firstLine="709" w:left="0"/>
        <w:jc w:val="both"/>
        <w:rPr>
          <w:sz w:val="28"/>
        </w:rPr>
      </w:pPr>
      <w:bookmarkStart w:id="8" w:name="P178"/>
      <w:bookmarkEnd w:id="8"/>
      <w:r>
        <w:rPr>
          <w:sz w:val="28"/>
        </w:rPr>
        <w:t>данные о том, что заявитель обладает или будет обладать квалифицированными специалистами и техническими средствами, необходимыми для эффективного и безопасного осуществления пользования недрами:</w:t>
      </w:r>
    </w:p>
    <w:p w14:paraId="81000000">
      <w:pPr>
        <w:pStyle w:val="Style_3"/>
        <w:widowControl w:val="0"/>
        <w:numPr>
          <w:ilvl w:val="0"/>
          <w:numId w:val="6"/>
        </w:numPr>
        <w:tabs>
          <w:tab w:leader="none" w:pos="1134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>перечень квалифицированных специалистов, являющихся сотрудниками заявителя, а также квалифицированных специалистов юридических и физических лиц, привлекаемых для осуществления пользования участком недр (в случае если осуществление отдельных видов деятельности, связанных с пользованием участком недр, планируется осуществлять с привлечением юридических или физических лиц), с приложением штатных расписаний заявителя и (или) юридических лиц, индивидуальных предпринимателей, привлекаемых для осуществления пользования участком недр, подтверждающих наличие квалифицированных специалистов, необходимых для эффективного и безопасного осуществления пользования участком недр; в перечне квалифицированных специалистов указываются фамилия, имя, отчество (при наличии), должность, квалификация каждого специалиста, реквизиты трудового или гражданско-правового договора, заключенного со специалистом, и информация о том, является ли специалист сотрудником заявителя или сотрудником юридического лица, индивидуального предпринимателя, привлекаемого для осуществления пользования участком недр;</w:t>
      </w:r>
    </w:p>
    <w:p w14:paraId="82000000">
      <w:pPr>
        <w:pStyle w:val="Style_3"/>
        <w:widowControl w:val="0"/>
        <w:numPr>
          <w:ilvl w:val="0"/>
          <w:numId w:val="6"/>
        </w:numPr>
        <w:tabs>
          <w:tab w:leader="none" w:pos="1134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>перечень технических средств заявителя, а также технических средств юридических и физических лиц, привлекаемых для осуществления пользования участком недр (в случае если осуществление отдельных видов деятельности, связанных с пользованием участком недр, планируется осуществлять с привлечением юридических или физических лиц), с приложением данных регистров бухгалтерского учета, отражающих информацию по основным средствам заявителя и (или) юридических лиц, привлекаемых для осуществления пользования участком недр, подтверждающую наличие технических средств, необходимых для эффективного и безопасного осуществления пользования участком недр; в перечне технических средств указываются наименования технических средств, их количество, заводские, инвентарные или регистрационные номера, реквизиты документов, подтверждающих нахождение таких технических средств во владении и пользовании заявителя и (или) юридического, физического лица, привлекаемого для осуществления пользования участком недр;</w:t>
      </w:r>
    </w:p>
    <w:p w14:paraId="83000000">
      <w:pPr>
        <w:pStyle w:val="Style_3"/>
        <w:widowControl w:val="0"/>
        <w:numPr>
          <w:ilvl w:val="0"/>
          <w:numId w:val="6"/>
        </w:numPr>
        <w:tabs>
          <w:tab w:leader="none" w:pos="1134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 xml:space="preserve">копии договоров с юридическими и физическими лицами, привлекаемыми для осуществления пользования участком недр, в том числе заключенные под отлагательным условием в соответствии со </w:t>
      </w:r>
      <w:r>
        <w:rPr>
          <w:sz w:val="28"/>
        </w:rPr>
        <w:fldChar w:fldCharType="begin"/>
      </w:r>
      <w:r>
        <w:rPr>
          <w:sz w:val="28"/>
        </w:rPr>
        <w:instrText>HYPERLINK "consultantplus://offline/ref=B080A55EEAA5E55DF447DAC5FB40C0C815C40092FD7085FA3C95CF62FB9F7F358CD399641CD253FEEC8D9A6E63B8D13FAE34D43F068933B8YAR9E"</w:instrText>
      </w:r>
      <w:r>
        <w:rPr>
          <w:sz w:val="28"/>
        </w:rPr>
        <w:fldChar w:fldCharType="separate"/>
      </w:r>
      <w:r>
        <w:rPr>
          <w:sz w:val="28"/>
        </w:rPr>
        <w:t>статьей 157</w:t>
      </w:r>
      <w:r>
        <w:rPr>
          <w:sz w:val="28"/>
        </w:rPr>
        <w:fldChar w:fldCharType="end"/>
      </w:r>
      <w:r>
        <w:rPr>
          <w:sz w:val="28"/>
        </w:rPr>
        <w:t xml:space="preserve"> Гражданского кодекса Российской Федерации (в случае если осуществление отдельных видов деятельности, связанных с пользованием участком недр, планируется проводить с привлечением юридических или физических лиц);</w:t>
      </w:r>
    </w:p>
    <w:p w14:paraId="84000000">
      <w:pPr>
        <w:pStyle w:val="Style_3"/>
        <w:widowControl w:val="0"/>
        <w:numPr>
          <w:ilvl w:val="0"/>
          <w:numId w:val="5"/>
        </w:numPr>
        <w:tabs>
          <w:tab w:leader="none" w:pos="1134" w:val="left"/>
          <w:tab w:leader="none" w:pos="1276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>справка с описанием технологии проведения работ, которые будут осуществляться на участке недр, подписанная заявителем или лицом, имеющим право действовать от имени заявителя;</w:t>
      </w:r>
    </w:p>
    <w:p w14:paraId="85000000">
      <w:pPr>
        <w:pStyle w:val="Style_3"/>
        <w:widowControl w:val="0"/>
        <w:numPr>
          <w:ilvl w:val="0"/>
          <w:numId w:val="5"/>
        </w:numPr>
        <w:tabs>
          <w:tab w:leader="none" w:pos="1134" w:val="left"/>
          <w:tab w:leader="none" w:pos="1276" w:val="left"/>
        </w:tabs>
        <w:spacing w:before="220"/>
        <w:ind w:firstLine="709" w:left="0"/>
        <w:jc w:val="both"/>
        <w:rPr>
          <w:sz w:val="28"/>
        </w:rPr>
      </w:pPr>
      <w:bookmarkStart w:id="9" w:name="P183"/>
      <w:bookmarkEnd w:id="9"/>
      <w:r>
        <w:rPr>
          <w:sz w:val="28"/>
        </w:rPr>
        <w:t xml:space="preserve">перечень лицензий на осуществление отдельных видов деятельности, необходимых для осуществления пользования участком недр в соответствии с планируемой технологией проведения работ и предусмотренных Федеральным </w:t>
      </w:r>
      <w:r>
        <w:rPr>
          <w:sz w:val="28"/>
        </w:rPr>
        <w:fldChar w:fldCharType="begin"/>
      </w:r>
      <w:r>
        <w:rPr>
          <w:sz w:val="28"/>
        </w:rPr>
        <w:instrText>HYPERLINK "consultantplus://offline/ref=B080A55EEAA5E55DF447DAC5FB40C0C812CC0490F97385FA3C95CF62FB9F7F359ED3C1681DD744FEED98CC3F25YERFE"</w:instrText>
      </w:r>
      <w:r>
        <w:rPr>
          <w:sz w:val="28"/>
        </w:rPr>
        <w:fldChar w:fldCharType="separate"/>
      </w:r>
      <w:r>
        <w:rPr>
          <w:sz w:val="28"/>
        </w:rPr>
        <w:t>законом</w:t>
      </w:r>
      <w:r>
        <w:rPr>
          <w:sz w:val="28"/>
        </w:rPr>
        <w:fldChar w:fldCharType="end"/>
      </w:r>
      <w:r>
        <w:rPr>
          <w:sz w:val="28"/>
        </w:rPr>
        <w:t xml:space="preserve"> от 04.05.2011 № 99-ФЗ «О лицензировании отдельных видов </w:t>
      </w:r>
      <w:r>
        <w:rPr>
          <w:sz w:val="28"/>
        </w:rPr>
        <w:t>деятельности» в отношении заявителя, а также привлеченных им юридических и физических лиц (в случае если осуществление отдельных видов деятельности, связанных с пользованием участком недр, планируется осуществлять с привлечением юридических или физических лиц). В этом перечне указываются регистрационные номера лицензий и даты их предоставления.</w:t>
      </w:r>
    </w:p>
    <w:p w14:paraId="86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Документы, составленные на иностранном языке, принимаются с переводом на русский язык, нотариально засвидетельствованным в соответствии с законодательством Российской Федерации о нотариате.</w:t>
      </w:r>
    </w:p>
    <w:p w14:paraId="87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Подавая заявку, заявитель соглашается с положениями, приведенными в решении о проведении аукциона, Порядком и условиями проведения аукциона, требованиями к аукционной документации, со включением условий пользования участком недр, предусмотренных порядком и условиями проведения аукциона, в лицензию на пользование недрами, а также со включением сведений, предусмотренных </w:t>
      </w:r>
      <w:r>
        <w:rPr>
          <w:sz w:val="28"/>
        </w:rPr>
        <w:fldChar w:fldCharType="begin"/>
      </w:r>
      <w:r>
        <w:rPr>
          <w:sz w:val="28"/>
        </w:rPr>
        <w:instrText>HYPERLINK "consultantplus://offline/ref=B080A55EEAA5E55DF447DAC5FB40C0C812CD0394FE7385FA3C95CF62FB9F7F358CD399601AD551AABFC29B3226E8C23EA834D63C1AY8R9E"</w:instrText>
      </w:r>
      <w:r>
        <w:rPr>
          <w:sz w:val="28"/>
        </w:rPr>
        <w:fldChar w:fldCharType="separate"/>
      </w:r>
      <w:r>
        <w:rPr>
          <w:sz w:val="28"/>
        </w:rPr>
        <w:t>частью первой статьи 14.1</w:t>
      </w:r>
      <w:r>
        <w:rPr>
          <w:sz w:val="28"/>
        </w:rPr>
        <w:fldChar w:fldCharType="end"/>
      </w:r>
      <w:r>
        <w:rPr>
          <w:sz w:val="28"/>
        </w:rPr>
        <w:t xml:space="preserve"> Закона «О недрах», в реестр недобросовестных участников аукционов на право пользования участками недр в случае признания заявителя победителем аукциона и неуплаты им в срок, установленный </w:t>
      </w:r>
      <w:r>
        <w:rPr>
          <w:sz w:val="28"/>
        </w:rPr>
        <w:fldChar w:fldCharType="begin"/>
      </w:r>
      <w:r>
        <w:rPr>
          <w:sz w:val="28"/>
        </w:rPr>
        <w:instrText>HYPERLINK "consultantplus://offline/ref=B080A55EEAA5E55DF447DAC5FB40C0C812CD0394FE7385FA3C95CF62FB9F7F358CD3996218D751AABFC29B3226E8C23EA834D63C1AY8R9E"</w:instrText>
      </w:r>
      <w:r>
        <w:rPr>
          <w:sz w:val="28"/>
        </w:rPr>
        <w:fldChar w:fldCharType="separate"/>
      </w:r>
      <w:r>
        <w:rPr>
          <w:sz w:val="28"/>
        </w:rPr>
        <w:t>частью четвертой статьи 40</w:t>
      </w:r>
      <w:r>
        <w:rPr>
          <w:sz w:val="28"/>
        </w:rPr>
        <w:fldChar w:fldCharType="end"/>
      </w:r>
      <w:r>
        <w:rPr>
          <w:sz w:val="28"/>
        </w:rPr>
        <w:t xml:space="preserve"> Закона Российской Федерации «О недрах», и (или) в размере, установленном протоколом о результатах аукциона, окончательного размера разового платежа за пользование недрами.</w:t>
      </w:r>
    </w:p>
    <w:p w14:paraId="88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Документы, подтверждающие наличие квалифицированных специалистов, необходимых финансовых и технических средств и соответствующих лицензий для эффективного и безопасного осуществления пользования участком недр, действуют в течение календарного года, за исключением документов, предусмотренных </w:t>
      </w:r>
      <w:r>
        <w:rPr>
          <w:sz w:val="28"/>
        </w:rPr>
        <w:fldChar w:fldCharType="begin"/>
      </w:r>
      <w:r>
        <w:rPr>
          <w:sz w:val="28"/>
        </w:rPr>
        <w:instrText>HYPERLINK \l "P175"</w:instrText>
      </w:r>
      <w:r>
        <w:rPr>
          <w:sz w:val="28"/>
        </w:rPr>
        <w:fldChar w:fldCharType="separate"/>
      </w:r>
      <w:r>
        <w:rPr>
          <w:sz w:val="28"/>
        </w:rPr>
        <w:t>абзацами третьим</w:t>
      </w:r>
      <w:r>
        <w:rPr>
          <w:sz w:val="28"/>
        </w:rPr>
        <w:fldChar w:fldCharType="end"/>
      </w:r>
      <w:r>
        <w:rPr>
          <w:sz w:val="28"/>
        </w:rPr>
        <w:t xml:space="preserve"> – </w:t>
      </w:r>
      <w:r>
        <w:rPr>
          <w:sz w:val="28"/>
        </w:rPr>
        <w:fldChar w:fldCharType="begin"/>
      </w:r>
      <w:r>
        <w:rPr>
          <w:sz w:val="28"/>
        </w:rPr>
        <w:instrText>HYPERLINK \l "P177"</w:instrText>
      </w:r>
      <w:r>
        <w:rPr>
          <w:sz w:val="28"/>
        </w:rPr>
        <w:fldChar w:fldCharType="separate"/>
      </w:r>
      <w:r>
        <w:rPr>
          <w:sz w:val="28"/>
        </w:rPr>
        <w:t xml:space="preserve">пятым </w:t>
      </w:r>
      <w:r>
        <w:rPr>
          <w:sz w:val="28"/>
        </w:rPr>
        <w:t xml:space="preserve">пункта 6 </w:t>
      </w:r>
      <w:r>
        <w:rPr>
          <w:sz w:val="28"/>
        </w:rPr>
        <w:t>части</w:t>
      </w:r>
      <w:r>
        <w:rPr>
          <w:sz w:val="28"/>
        </w:rPr>
        <w:t xml:space="preserve"> </w:t>
      </w:r>
      <w:r>
        <w:rPr>
          <w:sz w:val="28"/>
        </w:rPr>
        <w:fldChar w:fldCharType="end"/>
      </w:r>
      <w:r>
        <w:rPr>
          <w:sz w:val="28"/>
        </w:rPr>
        <w:t>4</w:t>
      </w:r>
      <w:r>
        <w:rPr>
          <w:sz w:val="28"/>
        </w:rPr>
        <w:t>4</w:t>
      </w:r>
      <w:r>
        <w:rPr>
          <w:sz w:val="28"/>
        </w:rPr>
        <w:t xml:space="preserve"> настоящего Порядка.</w:t>
      </w:r>
    </w:p>
    <w:p w14:paraId="89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Оператор электронной площадки обеспечивает прием и регистрацию заявок и прилагаемых к ним документов в электронном журнале приема заявок.</w:t>
      </w:r>
    </w:p>
    <w:p w14:paraId="8A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Оператор электронной площадки присваивает заявке идентификационный номер с указанием даты и времени ее приема и подтверждает путем направления заявителю уведомления о получение заявки с указанием присвоенного ей идентификационного номера в течение одного часа с момента ее получения.</w:t>
      </w:r>
    </w:p>
    <w:p w14:paraId="8B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Уведомление о получении заявки в течение одного часа с момента ее получения также направляется оператором электронной площадки организатору аукциона. Указанное уведомление содержит идентификационный номер заявки, наименование заявителя, наименование (при наличии) участка недр, являющегося объектом аукциона, и номер объявления о проведении аукциона, при этом возможность просмотра заявки и прилагаемых к ней документов обеспечивается оператором электронной площадки начиная со дня, следующего за днем окончания срока подачи заявок, установленного порядком и условиями проведения аукциона.</w:t>
      </w:r>
    </w:p>
    <w:p w14:paraId="8C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bookmarkStart w:id="10" w:name="P191"/>
      <w:bookmarkEnd w:id="10"/>
      <w:r>
        <w:rPr>
          <w:sz w:val="28"/>
        </w:rPr>
        <w:t>Программно-аппаратными средствами оператора электронной площадки предусматриваются следующие случаи, влекущие невозможность подачи заявителем заявки:</w:t>
      </w:r>
    </w:p>
    <w:p w14:paraId="8D000000">
      <w:pPr>
        <w:pStyle w:val="Style_3"/>
        <w:widowControl w:val="0"/>
        <w:numPr>
          <w:ilvl w:val="0"/>
          <w:numId w:val="7"/>
        </w:numPr>
        <w:tabs>
          <w:tab w:leader="none" w:pos="1276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 xml:space="preserve">наличие </w:t>
      </w:r>
      <w:r>
        <w:rPr>
          <w:sz w:val="28"/>
        </w:rPr>
        <w:t>неотозванной</w:t>
      </w:r>
      <w:r>
        <w:rPr>
          <w:sz w:val="28"/>
        </w:rPr>
        <w:t xml:space="preserve"> заявки, ранее поданной заявителем для участия в этом же аукционе;</w:t>
      </w:r>
    </w:p>
    <w:p w14:paraId="8E000000">
      <w:pPr>
        <w:pStyle w:val="Style_3"/>
        <w:widowControl w:val="0"/>
        <w:numPr>
          <w:ilvl w:val="0"/>
          <w:numId w:val="7"/>
        </w:numPr>
        <w:tabs>
          <w:tab w:leader="none" w:pos="1276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 xml:space="preserve">подача заявки с нарушением требований к оформлению документов, прилагаемых к заявке, предусмотренных </w:t>
      </w:r>
      <w:r>
        <w:rPr>
          <w:sz w:val="28"/>
        </w:rPr>
        <w:t>частью</w:t>
      </w:r>
      <w:r>
        <w:rPr>
          <w:sz w:val="28"/>
        </w:rPr>
        <w:t xml:space="preserve"> 4</w:t>
      </w:r>
      <w:r>
        <w:rPr>
          <w:sz w:val="28"/>
        </w:rPr>
        <w:t>4</w:t>
      </w:r>
      <w:r>
        <w:rPr>
          <w:sz w:val="28"/>
        </w:rPr>
        <w:t xml:space="preserve"> настоящего Порядка и условий проведения аукциона;</w:t>
      </w:r>
    </w:p>
    <w:p w14:paraId="8F000000">
      <w:pPr>
        <w:pStyle w:val="Style_3"/>
        <w:widowControl w:val="0"/>
        <w:numPr>
          <w:ilvl w:val="0"/>
          <w:numId w:val="7"/>
        </w:numPr>
        <w:tabs>
          <w:tab w:leader="none" w:pos="1276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>подача заявки после дня окончания срока подачи заявок;</w:t>
      </w:r>
    </w:p>
    <w:p w14:paraId="90000000">
      <w:pPr>
        <w:pStyle w:val="Style_3"/>
        <w:widowControl w:val="0"/>
        <w:numPr>
          <w:ilvl w:val="0"/>
          <w:numId w:val="7"/>
        </w:numPr>
        <w:tabs>
          <w:tab w:leader="none" w:pos="1276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>подача заявки с нарушением требований, установленных регламентом электронной площадки;</w:t>
      </w:r>
    </w:p>
    <w:p w14:paraId="91000000">
      <w:pPr>
        <w:pStyle w:val="Style_3"/>
        <w:widowControl w:val="0"/>
        <w:numPr>
          <w:ilvl w:val="0"/>
          <w:numId w:val="7"/>
        </w:numPr>
        <w:tabs>
          <w:tab w:leader="none" w:pos="1276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>неуплата задатка и сбора за участие в аукционе.</w:t>
      </w:r>
    </w:p>
    <w:p w14:paraId="92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Заявитель вправе не позднее дня окончания срока подачи заявок отозвать заявку путем направления уведомления об ее отзыве оператору электронной площадки.</w:t>
      </w:r>
    </w:p>
    <w:p w14:paraId="93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bookmarkStart w:id="11" w:name="P198"/>
      <w:bookmarkEnd w:id="11"/>
      <w:r>
        <w:rPr>
          <w:sz w:val="28"/>
        </w:rPr>
        <w:t>Изменение заявки и прилагаемых к ней документов допускается путем подачи заявителем новой заявки в установленные Порядком и условиями проведения аукциона сроки подачи заявки, при этом первоначальная заявка должна быть отозвана.</w:t>
      </w:r>
    </w:p>
    <w:p w14:paraId="94000000">
      <w:pPr>
        <w:pStyle w:val="Style_3"/>
        <w:tabs>
          <w:tab w:leader="none" w:pos="993" w:val="left"/>
          <w:tab w:leader="none" w:pos="1276" w:val="left"/>
        </w:tabs>
        <w:ind w:firstLine="0" w:left="709"/>
        <w:jc w:val="both"/>
        <w:rPr>
          <w:sz w:val="28"/>
        </w:rPr>
      </w:pPr>
    </w:p>
    <w:p w14:paraId="95000000">
      <w:pPr>
        <w:ind/>
        <w:jc w:val="center"/>
        <w:rPr>
          <w:sz w:val="28"/>
        </w:rPr>
      </w:pPr>
      <w:r>
        <w:rPr>
          <w:sz w:val="28"/>
        </w:rPr>
        <w:t xml:space="preserve">Порядок рассмотрения заявок и оформления протокола рассмотрения </w:t>
      </w:r>
    </w:p>
    <w:p w14:paraId="96000000">
      <w:pPr>
        <w:ind/>
        <w:jc w:val="center"/>
        <w:rPr>
          <w:sz w:val="28"/>
        </w:rPr>
      </w:pPr>
      <w:r>
        <w:rPr>
          <w:sz w:val="28"/>
        </w:rPr>
        <w:t>заявок на участие в аукционе</w:t>
      </w:r>
    </w:p>
    <w:p w14:paraId="97000000">
      <w:pPr>
        <w:tabs>
          <w:tab w:leader="none" w:pos="1276" w:val="left"/>
        </w:tabs>
        <w:ind/>
        <w:jc w:val="both"/>
        <w:rPr>
          <w:color w:themeColor="accent6" w:themeShade="80" w:val="994907"/>
          <w:sz w:val="28"/>
        </w:rPr>
      </w:pPr>
    </w:p>
    <w:p w14:paraId="98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Рассмотрение заявок и прилагаемых к ним документов на соответствие требованиям </w:t>
      </w:r>
      <w:r>
        <w:rPr>
          <w:sz w:val="28"/>
        </w:rPr>
        <w:fldChar w:fldCharType="begin"/>
      </w:r>
      <w:r>
        <w:rPr>
          <w:sz w:val="28"/>
        </w:rPr>
        <w:instrText>HYPERLINK "consultantplus://offline/ref=B080A55EEAA5E55DF447DAC5FB40C0C812CD0394FE7385FA3C95CF62FB9F7F359ED3C1681DD744FEED98CC3F25YERFE"</w:instrText>
      </w:r>
      <w:r>
        <w:rPr>
          <w:sz w:val="28"/>
        </w:rPr>
        <w:fldChar w:fldCharType="separate"/>
      </w:r>
      <w:r>
        <w:rPr>
          <w:sz w:val="28"/>
        </w:rPr>
        <w:t>Закона</w:t>
      </w:r>
      <w:r>
        <w:rPr>
          <w:sz w:val="28"/>
        </w:rPr>
        <w:fldChar w:fldCharType="end"/>
      </w:r>
      <w:r>
        <w:rPr>
          <w:sz w:val="28"/>
        </w:rPr>
        <w:t xml:space="preserve"> «О недрах» и Порядка и условий проведения аукциона, осуществляется аукционной комиссией в течение срока, не превышающего </w:t>
      </w:r>
      <w:r>
        <w:rPr>
          <w:sz w:val="28"/>
        </w:rPr>
        <w:t xml:space="preserve">10 дней </w:t>
      </w:r>
      <w:r>
        <w:rPr>
          <w:sz w:val="28"/>
        </w:rPr>
        <w:t>со дня окончания срока подачи заявок. По результатам рассмотрения заявок и прилагаемых к ним документов аукционная комиссия подписывает протокол рассмотрения заявок на участие в аукционе.</w:t>
      </w:r>
    </w:p>
    <w:p w14:paraId="99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В день, следующий за днем окончания срока подачи заявок, установленным Порядком и условиями проведения аукциона, оператор электронной площадки обеспечивает посредством личного кабинета доступ организатора аукциона к поданным заявкам и прилагаемым к ним документам, к журналу приема заявок, в котором содержатся в том числе сведения о заявках, отозванных заявителями, а также к следующим документам и сведениям в отношении каждого заявителя, заявка которого на указанную дату не была отозвана:</w:t>
      </w:r>
    </w:p>
    <w:p w14:paraId="9A000000">
      <w:pPr>
        <w:pStyle w:val="Style_3"/>
        <w:widowControl w:val="0"/>
        <w:numPr>
          <w:ilvl w:val="0"/>
          <w:numId w:val="8"/>
        </w:numPr>
        <w:tabs>
          <w:tab w:leader="none" w:pos="1134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>копии учредите</w:t>
      </w:r>
      <w:r>
        <w:rPr>
          <w:sz w:val="28"/>
        </w:rPr>
        <w:t>льных документов заявителя</w:t>
      </w:r>
      <w:r>
        <w:rPr>
          <w:sz w:val="28"/>
        </w:rPr>
        <w:t>,</w:t>
      </w:r>
      <w:r>
        <w:rPr>
          <w:sz w:val="28"/>
        </w:rPr>
        <w:t xml:space="preserve"> либо </w:t>
      </w:r>
      <w:r>
        <w:rPr>
          <w:sz w:val="28"/>
        </w:rPr>
        <w:t xml:space="preserve">надлежащим </w:t>
      </w:r>
      <w:r>
        <w:rPr>
          <w:sz w:val="28"/>
        </w:rPr>
        <w:t>образом заверенный перевод на русский язык учредительных документов – для иностранного лица;</w:t>
      </w:r>
    </w:p>
    <w:p w14:paraId="9B000000">
      <w:pPr>
        <w:pStyle w:val="Style_3"/>
        <w:widowControl w:val="0"/>
        <w:numPr>
          <w:ilvl w:val="0"/>
          <w:numId w:val="8"/>
        </w:numPr>
        <w:tabs>
          <w:tab w:leader="none" w:pos="1134" w:val="left"/>
        </w:tabs>
        <w:spacing w:before="220"/>
        <w:ind w:firstLine="709" w:left="0"/>
        <w:jc w:val="both"/>
        <w:rPr>
          <w:sz w:val="28"/>
        </w:rPr>
      </w:pPr>
      <w:r>
        <w:rPr>
          <w:sz w:val="28"/>
        </w:rPr>
        <w:t>сведения об уплате заявителем задатка и сбора за участие в аукционе, включая информацию о размере уплаченных средств и дате их поступления на расчетный счет оператора электронной площадки.</w:t>
      </w:r>
    </w:p>
    <w:p w14:paraId="9C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В случае если по окончании срока подачи заявок оператором электронной площадки зарегистрирована только одна заявка или заявки отсутствуют, такой аукцион признается несостоявшимся по основанию, предусмотренному </w:t>
      </w:r>
      <w:r>
        <w:rPr>
          <w:sz w:val="28"/>
        </w:rPr>
        <w:t>частью</w:t>
      </w:r>
      <w:r>
        <w:rPr>
          <w:sz w:val="28"/>
        </w:rPr>
        <w:t xml:space="preserve"> </w:t>
      </w:r>
      <w:r>
        <w:rPr>
          <w:sz w:val="28"/>
        </w:rPr>
        <w:t>29</w:t>
      </w:r>
      <w:r>
        <w:rPr>
          <w:sz w:val="28"/>
        </w:rPr>
        <w:t xml:space="preserve"> Порядка и условий проведения аукциона, при этом </w:t>
      </w:r>
      <w:r>
        <w:rPr>
          <w:sz w:val="28"/>
        </w:rPr>
        <w:t>зарегистрированная заявка подлежит рассмотрению аукционной комиссией в установленном порядке.</w:t>
      </w:r>
    </w:p>
    <w:p w14:paraId="9D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Отказ в приеме заявки осуществляется по основаниям, предусмотренным </w:t>
      </w:r>
      <w:r>
        <w:rPr>
          <w:sz w:val="28"/>
        </w:rPr>
        <w:fldChar w:fldCharType="begin"/>
      </w:r>
      <w:r>
        <w:rPr>
          <w:sz w:val="28"/>
        </w:rPr>
        <w:instrText>HYPERLINK "consultantplus://offline/ref=B080A55EEAA5E55DF447DAC5FB40C0C812CD0394FE7385FA3C95CF62FB9F7F358CD399601AD251AABFC29B3226E8C23EA834D63C1AY8R9E"</w:instrText>
      </w:r>
      <w:r>
        <w:rPr>
          <w:sz w:val="28"/>
        </w:rPr>
        <w:fldChar w:fldCharType="separate"/>
      </w:r>
      <w:r>
        <w:rPr>
          <w:sz w:val="28"/>
        </w:rPr>
        <w:t>статьей 14</w:t>
      </w:r>
      <w:r>
        <w:rPr>
          <w:sz w:val="28"/>
        </w:rPr>
        <w:fldChar w:fldCharType="end"/>
      </w:r>
      <w:r>
        <w:rPr>
          <w:sz w:val="28"/>
        </w:rPr>
        <w:t xml:space="preserve"> Закона «О недрах»</w:t>
      </w:r>
      <w:r>
        <w:rPr>
          <w:sz w:val="28"/>
        </w:rPr>
        <w:t>.</w:t>
      </w:r>
    </w:p>
    <w:p w14:paraId="9E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bookmarkStart w:id="12" w:name="P236"/>
      <w:bookmarkEnd w:id="12"/>
      <w:r>
        <w:rPr>
          <w:sz w:val="28"/>
        </w:rPr>
        <w:t>В день подписания членами аукционной комиссии протокола рассмотрения заявок на участие в аукционе аукционная комиссия оформляет протокол рассмотрения заявок на участие в аукционе, подписываемый с использованием усиленной квалифицированной электронной подписи всеми присутствующими на заседании аукционной комиссии членами комиссии.</w:t>
      </w:r>
    </w:p>
    <w:p w14:paraId="9F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Заявитель, допущенный к участию в аукционе, становится участником аукциона со дня подписания членами аукционной комиссии протокола рассмотрения заявок на участие в аукционе.</w:t>
      </w:r>
    </w:p>
    <w:p w14:paraId="A0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В случае если аукцион признан несостоявшимся по основаниям, предусмотренным </w:t>
      </w:r>
      <w:r>
        <w:rPr>
          <w:sz w:val="28"/>
        </w:rPr>
        <w:t xml:space="preserve">подпунктами 2 и 3 </w:t>
      </w:r>
      <w:r>
        <w:rPr>
          <w:sz w:val="28"/>
        </w:rPr>
        <w:t>части</w:t>
      </w:r>
      <w:r>
        <w:rPr>
          <w:sz w:val="28"/>
        </w:rPr>
        <w:t xml:space="preserve"> </w:t>
      </w:r>
      <w:r>
        <w:rPr>
          <w:sz w:val="28"/>
        </w:rPr>
        <w:t>29</w:t>
      </w:r>
      <w:r>
        <w:rPr>
          <w:sz w:val="28"/>
        </w:rPr>
        <w:t xml:space="preserve"> Порядка и условий проведения аукциона (наличие одной зарегистрированной заявки), протокол рассмотрения заявок на участие в аукционе оформляется в порядке, предусмотренном </w:t>
      </w:r>
      <w:r>
        <w:rPr>
          <w:sz w:val="28"/>
        </w:rPr>
        <w:fldChar w:fldCharType="begin"/>
      </w:r>
      <w:r>
        <w:rPr>
          <w:sz w:val="28"/>
        </w:rPr>
        <w:instrText>HYPERLINK \l "P245"</w:instrText>
      </w:r>
      <w:r>
        <w:rPr>
          <w:sz w:val="28"/>
        </w:rPr>
        <w:fldChar w:fldCharType="separate"/>
      </w:r>
      <w:r>
        <w:rPr>
          <w:sz w:val="28"/>
        </w:rPr>
        <w:t>пунктом 61</w:t>
      </w:r>
      <w:r>
        <w:rPr>
          <w:sz w:val="28"/>
        </w:rPr>
        <w:fldChar w:fldCharType="end"/>
      </w:r>
      <w:r>
        <w:rPr>
          <w:sz w:val="28"/>
        </w:rPr>
        <w:t xml:space="preserve"> или </w:t>
      </w:r>
      <w:r>
        <w:rPr>
          <w:sz w:val="28"/>
        </w:rPr>
        <w:fldChar w:fldCharType="begin"/>
      </w:r>
      <w:r>
        <w:rPr>
          <w:sz w:val="28"/>
        </w:rPr>
        <w:instrText>HYPERLINK \l "P255"</w:instrText>
      </w:r>
      <w:r>
        <w:rPr>
          <w:sz w:val="28"/>
        </w:rPr>
        <w:fldChar w:fldCharType="separate"/>
      </w:r>
      <w:r>
        <w:rPr>
          <w:sz w:val="28"/>
        </w:rPr>
        <w:t>62</w:t>
      </w:r>
      <w:r>
        <w:rPr>
          <w:sz w:val="28"/>
        </w:rPr>
        <w:fldChar w:fldCharType="end"/>
      </w:r>
      <w:r>
        <w:rPr>
          <w:sz w:val="28"/>
        </w:rPr>
        <w:t xml:space="preserve"> Правил соответственно, при этом право пользования участком недр предоставляется единственному заявителю или единственному участнику аукциона с оформлением ему лицензии на пользование недрами на условиях аукциона с установлением размера разового платежа за пользование недрами не ниже установленного условиями аукциона, увеличенного на «шаг аукциона».</w:t>
      </w:r>
    </w:p>
    <w:p w14:paraId="A1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bookmarkStart w:id="13" w:name="P245"/>
      <w:bookmarkEnd w:id="13"/>
      <w:bookmarkStart w:id="14" w:name="P255"/>
      <w:bookmarkEnd w:id="14"/>
      <w:r>
        <w:rPr>
          <w:sz w:val="28"/>
        </w:rPr>
        <w:t>Протокол рассмотрения заявок на участие в аукционе размещается не позднее дня его подписания членами аукционной комиссии организатором аукциона на сайте электронной площадки. Не позднее одного часа с момента размещения протокола рассмотрения заявок на сайте электронной площадки указанный протокол размещается на официальном сайте.</w:t>
      </w:r>
    </w:p>
    <w:p w14:paraId="A2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В течение одного часа с момента размещения протокола рассмотрения </w:t>
      </w:r>
      <w:r>
        <w:rPr>
          <w:sz w:val="28"/>
        </w:rPr>
        <w:t>заявок на участие в аукционе на сайте электронной площадки оператор электронной площадки направляет уведомления о размещении протокола рассмотрения заявок на участие в аукционе заявителям.</w:t>
      </w:r>
    </w:p>
    <w:p w14:paraId="A3000000">
      <w:pPr>
        <w:rPr>
          <w:sz w:val="28"/>
        </w:rPr>
      </w:pPr>
    </w:p>
    <w:p w14:paraId="A4000000">
      <w:pPr>
        <w:ind/>
        <w:jc w:val="center"/>
        <w:rPr>
          <w:sz w:val="28"/>
        </w:rPr>
      </w:pPr>
      <w:r>
        <w:rPr>
          <w:sz w:val="28"/>
        </w:rPr>
        <w:t xml:space="preserve">Порядок проведения аукциона и оформления протокола </w:t>
      </w:r>
    </w:p>
    <w:p w14:paraId="A5000000">
      <w:pPr>
        <w:ind/>
        <w:jc w:val="center"/>
        <w:rPr>
          <w:sz w:val="28"/>
        </w:rPr>
      </w:pPr>
      <w:r>
        <w:rPr>
          <w:sz w:val="28"/>
        </w:rPr>
        <w:t>о результатах аукциона</w:t>
      </w:r>
    </w:p>
    <w:p w14:paraId="A6000000">
      <w:pPr>
        <w:tabs>
          <w:tab w:leader="none" w:pos="1276" w:val="left"/>
        </w:tabs>
        <w:ind/>
        <w:jc w:val="both"/>
        <w:rPr>
          <w:sz w:val="28"/>
        </w:rPr>
      </w:pPr>
    </w:p>
    <w:p w14:paraId="A7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К участию в аукционе допускаются заявители, признанные аукционной комиссией участниками аукциона.</w:t>
      </w:r>
    </w:p>
    <w:p w14:paraId="A8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Аукцион проводится не позднее следующего дня со дня подписания членами аукционной комиссии протокола рассмотрения заявок на участие в аукционе</w:t>
      </w:r>
      <w:r>
        <w:rPr>
          <w:sz w:val="28"/>
        </w:rPr>
        <w:t>.</w:t>
      </w:r>
    </w:p>
    <w:p w14:paraId="A9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Аукцион проводится в день и время, установленные Порядком и </w:t>
      </w:r>
      <w:r>
        <w:rPr>
          <w:sz w:val="28"/>
        </w:rPr>
        <w:t>условиями проведения аукциона, путем последовательного повышения участниками аукциона минимального (стартового) размера разового платежа за пользование недрами на величину «шага аукциона», установленную Порядком и условиями проведения аукциона.</w:t>
      </w:r>
    </w:p>
    <w:p w14:paraId="AA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Во время проведения аукциона оператор электронной площадки обеспечивает доступ участников аукциона к закрытой части электронной площадки и возможность представления ими предложений о размере разового платежа за пользование недрами.</w:t>
      </w:r>
    </w:p>
    <w:p w14:paraId="AB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С момента начала проведения аукциона оператором электронной площадки размещаются:</w:t>
      </w:r>
    </w:p>
    <w:p w14:paraId="AC000000">
      <w:p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1) в открытой для доступа неограниченного круга лиц части электронной площадки – информация о начале проведения аукциона с указанием наименования (при наличии) участка недр, являющегося объектом аукциона, минимального (стартового) размера разового платежа за пользование недрами и «шага аукциона»;</w:t>
      </w:r>
    </w:p>
    <w:p w14:paraId="AD000000">
      <w:p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2) в закрытой части электронной площадки – информация, указанная в открытой для доступа неограниченного круга лиц части электронной площадки, предложения участников аукциона о размере разового платежа за пользование недрами и время их поступления, а также время, оставшееся до окончания приема предложений о размере разового платежа за пользование недрами.</w:t>
      </w:r>
    </w:p>
    <w:p w14:paraId="AE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При проведении аукциона устанавливается время приема предложений участников аукциона о размере разового платежа за пользование недрами, увеличенном на «шаг аукциона», составляющее 60 минут от начала проведения такого аукциона до истечения срока подачи предложений о размере разового платежа за пользование недрами, а также 20 минут после поступления последнего предложения о его размере.</w:t>
      </w:r>
    </w:p>
    <w:p w14:paraId="AF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Время, оставшееся до истечения срока подачи предложений о размере разового платежа за пользование недрами, обновляется автоматически с помощью программно-аппаратных средств оператора электронной площадки после поступления последнего предложения о размере разового платежа за пользование недрами. Если в течение указанного времени не поступило ни одного предложения о размере разового платежа за пользование недрами, увеличивающего его текущее значение на «шаг аукциона», такой аукцион автоматически с помощью программно-аппаратных средств оператора электронной площадки завершается.</w:t>
      </w:r>
    </w:p>
    <w:p w14:paraId="B0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После прохождения 100-го, 300-го и 500-го «шагов аукциона» величина «шага аукциона» устанавливается в размере 10 процентов достигнутого размера разового платежа за пользование недрами соответственно на 100-м, 300-м и 500-м «шаге аукциона».</w:t>
      </w:r>
    </w:p>
    <w:p w14:paraId="B1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В случае если в течение 60 минут от начала проведения аукциона участники аукциона не подали ни одного предложения о размере разового платежа за пользование недрами, увеличенного на «шаг аукциона», такой аукцион признается несостоявшимся в соответствии с подпунктом «д» пункта 78 Правил проведения аукциона.</w:t>
      </w:r>
    </w:p>
    <w:p w14:paraId="B2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При проведении аукциона программно-аппаратными средствами оператора электронной площадки обеспечиваются:</w:t>
      </w:r>
    </w:p>
    <w:p w14:paraId="B3000000">
      <w:p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1) исключение возможности подачи участником аукциона предложения о размере разового платежа за пользование недрами, не соответствующего увеличению его текущего размера на величину «шага аукциона»;</w:t>
      </w:r>
    </w:p>
    <w:p w14:paraId="B4000000">
      <w:p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2) уведомление участника аукциона в случае, если предложение этого участника о размере разового платежа за пользование недрами не может быть принято в связи с подачей аналогичного предложения ранее другим участником аукциона.</w:t>
      </w:r>
    </w:p>
    <w:p w14:paraId="B5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bookmarkStart w:id="15" w:name="P278"/>
      <w:bookmarkEnd w:id="15"/>
      <w:r>
        <w:rPr>
          <w:sz w:val="28"/>
        </w:rPr>
        <w:t>Ход проведения аукциона фиксируется оператором электронной площадки в электронном журнале, который размещается в личном кабинете организатора аукциона в течение одного часа с момента завершения аукциона.</w:t>
      </w:r>
    </w:p>
    <w:p w14:paraId="B6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Оператор электронной площадки приостанавливает проведение аукциона в случае технологического сбоя, зафиксированного программно-аппаратными средствами оператора электронной площадки, но не более чем на одни сутки. Возобновление проведения аукциона начинается с того момента, на котором аукцион был прерван.</w:t>
      </w:r>
    </w:p>
    <w:p w14:paraId="B7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В течение одного часа с момента приостановления проведения аукциона оператор электронной площадки размещает на сайте электронной площадки информацию о причине приостановления аукциона, времени приостановления и возобновления проведения аукциона и направляет уведомления организатору аукциона и участникам аукциона.</w:t>
      </w:r>
    </w:p>
    <w:p w14:paraId="B8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>Победителем аукциона признается участник аукциона, предложивший наибольший размер разового платежа за пользование недрами.</w:t>
      </w:r>
    </w:p>
    <w:p w14:paraId="B9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В соответствии с </w:t>
      </w:r>
      <w:r>
        <w:rPr>
          <w:sz w:val="28"/>
        </w:rPr>
        <w:fldChar w:fldCharType="begin"/>
      </w:r>
      <w:r>
        <w:rPr>
          <w:sz w:val="28"/>
        </w:rPr>
        <w:instrText>HYPERLINK "consultantplus://offline/ref=B080A55EEAA5E55DF447DAC5FB40C0C812CD0394FE7385FA3C95CF62FB9F7F358CD3996019D551AABFC29B3226E8C23EA834D63C1AY8R9E"</w:instrText>
      </w:r>
      <w:r>
        <w:rPr>
          <w:sz w:val="28"/>
        </w:rPr>
        <w:fldChar w:fldCharType="separate"/>
      </w:r>
      <w:r>
        <w:rPr>
          <w:sz w:val="28"/>
        </w:rPr>
        <w:t>частью тринадцатой статьи 13.1</w:t>
      </w:r>
      <w:r>
        <w:rPr>
          <w:sz w:val="28"/>
        </w:rPr>
        <w:fldChar w:fldCharType="end"/>
      </w:r>
      <w:r>
        <w:rPr>
          <w:sz w:val="28"/>
        </w:rPr>
        <w:t xml:space="preserve"> Закона «О недрах» в случае неуплаты победителем аукциона, признанным таковым аукционной комиссией, окончательного размера разового платежа за пользование недрами, установленного по результатам аукциона, победителем аукциона признается участник аукциона, предложение которого о размере разового платежа за пользование недрами предшествовало предложению первоначального победителя аукциона и которому предоставляется право пользования участком недр при условии уплаты разового платежа в размере, предложенном таким участником, но не менее размера разового платежа за пользование участком недр, установленного порядком и условиями проведения аукциона, увеличенного на «шаг аукциона».</w:t>
      </w:r>
    </w:p>
    <w:p w14:paraId="BA000000">
      <w:pPr>
        <w:pStyle w:val="Style_3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Итоги аукциона подводятся аукционной комиссией не позднее рабочего дня, следующего за днем размещения оператором электронной площадки электронного журнала, указанного в </w:t>
      </w:r>
      <w:r>
        <w:rPr>
          <w:sz w:val="28"/>
        </w:rPr>
        <w:fldChar w:fldCharType="begin"/>
      </w:r>
      <w:r>
        <w:rPr>
          <w:sz w:val="28"/>
        </w:rPr>
        <w:instrText>HYPERLINK \l "P278"</w:instrText>
      </w:r>
      <w:r>
        <w:rPr>
          <w:sz w:val="28"/>
        </w:rPr>
        <w:fldChar w:fldCharType="separate"/>
      </w:r>
      <w:r>
        <w:rPr>
          <w:sz w:val="28"/>
        </w:rPr>
        <w:t>части</w:t>
      </w:r>
      <w:r>
        <w:rPr>
          <w:sz w:val="28"/>
        </w:rPr>
        <w:t xml:space="preserve"> </w:t>
      </w:r>
      <w:r>
        <w:rPr>
          <w:sz w:val="28"/>
        </w:rPr>
        <w:t>7</w:t>
      </w:r>
      <w:r>
        <w:rPr>
          <w:sz w:val="28"/>
        </w:rPr>
        <w:t>3</w:t>
      </w:r>
      <w:r>
        <w:rPr>
          <w:sz w:val="28"/>
        </w:rPr>
        <w:fldChar w:fldCharType="end"/>
      </w:r>
      <w:r>
        <w:rPr>
          <w:sz w:val="28"/>
        </w:rPr>
        <w:t xml:space="preserve"> настоящего Порядка и условий проведения аукциона, в личном кабинете организатора аукциона, и оформляются протоколом о результатах аукциона.</w:t>
      </w:r>
    </w:p>
    <w:p w14:paraId="BB000000">
      <w:pPr>
        <w:pStyle w:val="Style_3"/>
        <w:spacing w:after="120" w:before="120"/>
        <w:ind w:firstLine="0" w:left="-697"/>
        <w:rPr>
          <w:sz w:val="28"/>
        </w:rPr>
      </w:pPr>
    </w:p>
    <w:p w14:paraId="BC000000">
      <w:pPr>
        <w:pStyle w:val="Style_3"/>
        <w:spacing w:after="120" w:before="120"/>
        <w:ind w:firstLine="0" w:left="0"/>
        <w:jc w:val="center"/>
        <w:rPr>
          <w:sz w:val="28"/>
        </w:rPr>
      </w:pPr>
      <w:r>
        <w:rPr>
          <w:sz w:val="28"/>
        </w:rPr>
        <w:t>Краткая характеристика участк</w:t>
      </w:r>
      <w:r>
        <w:rPr>
          <w:sz w:val="28"/>
        </w:rPr>
        <w:t>ов</w:t>
      </w:r>
      <w:r>
        <w:rPr>
          <w:sz w:val="28"/>
        </w:rPr>
        <w:t xml:space="preserve"> недр местного значения «</w:t>
      </w:r>
      <w:r>
        <w:rPr>
          <w:sz w:val="28"/>
        </w:rPr>
        <w:t>Сопка Лысая-1</w:t>
      </w:r>
      <w:r>
        <w:rPr>
          <w:sz w:val="28"/>
        </w:rPr>
        <w:t>»</w:t>
      </w:r>
      <w:r>
        <w:br/>
      </w:r>
      <w:r>
        <w:rPr>
          <w:sz w:val="28"/>
        </w:rPr>
        <w:t xml:space="preserve">и «Сопка Лысая-2» </w:t>
      </w:r>
      <w:r>
        <w:rPr>
          <w:sz w:val="28"/>
        </w:rPr>
        <w:t xml:space="preserve">месторождения </w:t>
      </w:r>
      <w:r>
        <w:rPr>
          <w:sz w:val="28"/>
        </w:rPr>
        <w:t xml:space="preserve">песка </w:t>
      </w:r>
      <w:r>
        <w:rPr>
          <w:sz w:val="28"/>
        </w:rPr>
        <w:t>с</w:t>
      </w:r>
      <w:r>
        <w:rPr>
          <w:sz w:val="28"/>
        </w:rPr>
        <w:t xml:space="preserve">троительного </w:t>
      </w:r>
      <w:r>
        <w:rPr>
          <w:sz w:val="28"/>
        </w:rPr>
        <w:t>Сопка Лысая</w:t>
      </w:r>
    </w:p>
    <w:p w14:paraId="BD000000">
      <w:pPr>
        <w:pStyle w:val="Style_3"/>
        <w:spacing w:after="120" w:before="120"/>
        <w:ind w:firstLine="0" w:left="1429"/>
        <w:rPr>
          <w:color w:themeColor="accent6" w:themeShade="80" w:val="994907"/>
          <w:sz w:val="28"/>
        </w:rPr>
      </w:pPr>
      <w:r>
        <w:rPr>
          <w:color w:themeColor="accent6" w:themeShade="80" w:val="994907"/>
          <w:sz w:val="28"/>
        </w:rPr>
        <w:t xml:space="preserve"> </w:t>
      </w:r>
    </w:p>
    <w:p w14:paraId="BE000000">
      <w:pPr>
        <w:pStyle w:val="Style_3"/>
        <w:widowControl w:val="0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43" w:left="0"/>
        <w:jc w:val="both"/>
        <w:rPr>
          <w:sz w:val="28"/>
        </w:rPr>
      </w:pPr>
      <w:r>
        <w:rPr>
          <w:sz w:val="28"/>
        </w:rPr>
        <w:t>В административном отношении участ</w:t>
      </w:r>
      <w:r>
        <w:rPr>
          <w:sz w:val="28"/>
        </w:rPr>
        <w:t>ки</w:t>
      </w:r>
      <w:r>
        <w:rPr>
          <w:sz w:val="28"/>
        </w:rPr>
        <w:t xml:space="preserve"> недр местного значения </w:t>
      </w:r>
      <w:r>
        <w:rPr>
          <w:sz w:val="28"/>
        </w:rPr>
        <w:t>«Сопка Лысая-1» и «Сопка Лысая-2»</w:t>
      </w:r>
      <w:r>
        <w:rPr>
          <w:sz w:val="28"/>
        </w:rPr>
        <w:t xml:space="preserve"> месторождения песка </w:t>
      </w:r>
      <w:r>
        <w:rPr>
          <w:sz w:val="28"/>
        </w:rPr>
        <w:t>строительного</w:t>
      </w:r>
      <w:r>
        <w:rPr>
          <w:sz w:val="28"/>
        </w:rPr>
        <w:t xml:space="preserve"> Сопка Лысая </w:t>
      </w:r>
      <w:r>
        <w:rPr>
          <w:sz w:val="28"/>
        </w:rPr>
        <w:t>наход</w:t>
      </w:r>
      <w:r>
        <w:rPr>
          <w:sz w:val="28"/>
        </w:rPr>
        <w:t>я</w:t>
      </w:r>
      <w:r>
        <w:rPr>
          <w:sz w:val="28"/>
        </w:rPr>
        <w:t xml:space="preserve">тся </w:t>
      </w:r>
      <w:r>
        <w:rPr>
          <w:sz w:val="28"/>
        </w:rPr>
        <w:t xml:space="preserve">на территории Елизовского муниципального района Камчатского края, территориально участки находятся в 30 км к северо-западу от краевого центра – г. Петропавловска-Камчатского, на юго-восточной окраине г. Елизово, на левом берегу р. Авача. В орографическом отношении район месторождения песка </w:t>
      </w:r>
      <w:r>
        <w:rPr>
          <w:sz w:val="28"/>
        </w:rPr>
        <w:t xml:space="preserve">строительного </w:t>
      </w:r>
      <w:r>
        <w:rPr>
          <w:sz w:val="28"/>
        </w:rPr>
        <w:t xml:space="preserve">Сопка Лысая представляет собой заболоченную поверхность надпойменной террасы р. Авача. Относительное превышение между северной и и южной частями месторождения составляет 10 м. В районе месторождения находится сопка Лысая, представляющая собой возвышенность высотой 80 м. </w:t>
      </w:r>
    </w:p>
    <w:p w14:paraId="BF000000">
      <w:pPr>
        <w:pStyle w:val="Style_3"/>
        <w:widowControl w:val="0"/>
        <w:numPr>
          <w:ilvl w:val="0"/>
          <w:numId w:val="1"/>
        </w:numPr>
        <w:tabs>
          <w:tab w:leader="none" w:pos="993" w:val="left"/>
          <w:tab w:leader="none" w:pos="1276" w:val="left"/>
        </w:tabs>
        <w:ind w:firstLine="743" w:left="0"/>
        <w:jc w:val="both"/>
        <w:rPr>
          <w:sz w:val="28"/>
        </w:rPr>
      </w:pPr>
      <w:r>
        <w:rPr>
          <w:sz w:val="28"/>
        </w:rPr>
        <w:t xml:space="preserve">Месторождение песка </w:t>
      </w:r>
      <w:r>
        <w:rPr>
          <w:sz w:val="28"/>
        </w:rPr>
        <w:t xml:space="preserve">строительного </w:t>
      </w:r>
      <w:r>
        <w:rPr>
          <w:sz w:val="28"/>
        </w:rPr>
        <w:t>Сопка Лысая приурочено к озерным отложениям, представленным полимиктовыми песками с примесью мелкого гравия, засоренными илисто-глинистыми частицами</w:t>
      </w:r>
      <w:r>
        <w:rPr>
          <w:sz w:val="28"/>
        </w:rPr>
        <w:t>. Среди песков встречаются мелкие линзы и прослои гравия, а также глинистых пород (супесей, суглинков, глин). В составе преимущественно песчаного разреза месторождения наблюдается слой супесчано-суглинистого материала, залегающего на глубине 6-8 м от дневной поверхности и разделяющего пески I и II промышленных горизонтов.</w:t>
      </w:r>
    </w:p>
    <w:p w14:paraId="C0000000">
      <w:pPr>
        <w:pStyle w:val="Style_3"/>
        <w:tabs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Гранулометрический состав песка </w:t>
      </w:r>
      <w:r>
        <w:rPr>
          <w:sz w:val="28"/>
        </w:rPr>
        <w:t xml:space="preserve">I горизонта: среднее содержание гравия крупнее 5 мм от 8,5%; крупнее 2,5 мм – 8,6%; крупнее 1,2 мм – 10,7%; крупнее 0,6 мм – 13,1%; крупнее 0,3 мм – 18,0%; крупнее 0,14 мм – 22,0%; мельче 0,14 мм – 27,6%. Модуль крупности от 1,1 до 3,1. Для </w:t>
      </w:r>
      <w:r>
        <w:rPr>
          <w:sz w:val="28"/>
        </w:rPr>
        <w:t>II горизонта: среднее содержание гравия крупнее 5 мм от 2,3%; крупнее 2,5 мм – 5,3%; крупнее 1,2 мм – 7,8%; крупнее 0,6 мм – 10,3%; крупнее 0,3 мм – 22,3%; крупнее 0,14 мм – 27,4%; мельче 0,14 мм – 15,9%. Модуль крупности от 1,0 до 2,2.</w:t>
      </w:r>
    </w:p>
    <w:p w14:paraId="C1000000">
      <w:pPr>
        <w:pStyle w:val="Style_3"/>
        <w:tabs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>Объемный вес песка в разрыхленном состоянии колеблется от 1,1 г/см</w:t>
      </w:r>
      <w:r>
        <w:rPr>
          <w:sz w:val="28"/>
          <w:vertAlign w:val="superscript"/>
        </w:rPr>
        <w:t>3</w:t>
      </w:r>
      <w:r>
        <w:rPr>
          <w:sz w:val="28"/>
        </w:rPr>
        <w:t xml:space="preserve"> до 1,63 </w:t>
      </w:r>
      <w:r>
        <w:rPr>
          <w:sz w:val="28"/>
        </w:rPr>
        <w:t>г/см</w:t>
      </w:r>
      <w:r>
        <w:rPr>
          <w:sz w:val="28"/>
          <w:vertAlign w:val="superscript"/>
        </w:rPr>
        <w:t>3</w:t>
      </w:r>
      <w:r>
        <w:rPr>
          <w:sz w:val="28"/>
        </w:rPr>
        <w:t xml:space="preserve">, удельный вес варьирует от 2,4 </w:t>
      </w:r>
      <w:r>
        <w:rPr>
          <w:sz w:val="28"/>
        </w:rPr>
        <w:t>г/см</w:t>
      </w:r>
      <w:r>
        <w:rPr>
          <w:sz w:val="28"/>
          <w:vertAlign w:val="superscript"/>
        </w:rPr>
        <w:t xml:space="preserve">3 </w:t>
      </w:r>
      <w:r>
        <w:rPr>
          <w:sz w:val="28"/>
        </w:rPr>
        <w:t xml:space="preserve">до 2,8 </w:t>
      </w:r>
      <w:r>
        <w:rPr>
          <w:sz w:val="28"/>
        </w:rPr>
        <w:t>г/см</w:t>
      </w:r>
      <w:r>
        <w:rPr>
          <w:sz w:val="28"/>
          <w:vertAlign w:val="superscript"/>
        </w:rPr>
        <w:t>3</w:t>
      </w:r>
      <w:r>
        <w:rPr>
          <w:sz w:val="28"/>
        </w:rPr>
        <w:t xml:space="preserve">, коэффициент разрыхления в среднем 1,51, объемный вес песка в целике – 2,08 </w:t>
      </w:r>
      <w:r>
        <w:rPr>
          <w:sz w:val="28"/>
        </w:rPr>
        <w:t>г/см</w:t>
      </w:r>
      <w:r>
        <w:rPr>
          <w:sz w:val="28"/>
          <w:vertAlign w:val="superscript"/>
        </w:rPr>
        <w:t>3</w:t>
      </w:r>
      <w:r>
        <w:rPr>
          <w:sz w:val="28"/>
        </w:rPr>
        <w:t xml:space="preserve">, в разрыхленном состоянии – 1,62 </w:t>
      </w:r>
      <w:r>
        <w:rPr>
          <w:sz w:val="28"/>
        </w:rPr>
        <w:t>г/см</w:t>
      </w:r>
      <w:r>
        <w:rPr>
          <w:sz w:val="28"/>
          <w:vertAlign w:val="superscript"/>
        </w:rPr>
        <w:t>3</w:t>
      </w:r>
      <w:r>
        <w:rPr>
          <w:sz w:val="28"/>
        </w:rPr>
        <w:t>.</w:t>
      </w:r>
    </w:p>
    <w:p w14:paraId="C2000000">
      <w:pPr>
        <w:pStyle w:val="Style_3"/>
        <w:tabs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>Органические вещества в песках присутствуют в незначительных количествах, межзерновые пустоты в песках составляют от 22% до 44%, пористость в среднем 43%.</w:t>
      </w:r>
    </w:p>
    <w:p w14:paraId="C3000000">
      <w:pPr>
        <w:pStyle w:val="Style_3"/>
        <w:tabs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>По минералогическому составу пески месторождения являются полимиктовыми, состоят в основном из зерен изверженных пород (52%), темноцветных минералов (20%), полевого шпата (13%), кварца (12%) и незначительного количества магнетита, оливина, апатита, встречаются единичные зерна опала и лимонита. Реакционно вредные минералы и слюды в общей массе песка отсутствуют.</w:t>
      </w:r>
    </w:p>
    <w:p w14:paraId="C4000000">
      <w:pPr>
        <w:pStyle w:val="Style_3"/>
        <w:tabs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Пески месторождения средне-, мелкозернистые с повышенным содержанием мелкозема (в среднем 25%), засорены илистыми и глинистыми частицами (в среднем 11,5%). Содержание глины по результатам лабораторных исследований 4 проб в общей массе колеблется от 3,2% до 8,7%, приращение объема (набухания) – от 4% до 8%, потери при прокаливании – 2,6%. </w:t>
      </w:r>
      <w:r>
        <w:rPr>
          <w:sz w:val="28"/>
        </w:rPr>
        <w:t>Горно-геологические условия благоприятны для разработки участка недр открытым карьером. Для отработки песков, расположенных ниже уровня грунтовых вод рекомендуется использование экскаватора</w:t>
      </w:r>
      <w:r>
        <w:rPr>
          <w:sz w:val="28"/>
        </w:rPr>
        <w:t xml:space="preserve">-драглайна. Уровень грунтовых вод на участке </w:t>
      </w:r>
      <w:r>
        <w:rPr>
          <w:sz w:val="28"/>
        </w:rPr>
        <w:t>I месторождения колеблется от 6 до 8 м, водоприток в горные выработки 1,4-2,0 м</w:t>
      </w:r>
      <w:r>
        <w:rPr>
          <w:sz w:val="28"/>
          <w:vertAlign w:val="superscript"/>
        </w:rPr>
        <w:t>3</w:t>
      </w:r>
      <w:r>
        <w:rPr>
          <w:sz w:val="28"/>
        </w:rPr>
        <w:t xml:space="preserve">/час, на участке </w:t>
      </w:r>
      <w:r>
        <w:rPr>
          <w:sz w:val="28"/>
        </w:rPr>
        <w:t>I</w:t>
      </w:r>
      <w:r>
        <w:rPr>
          <w:sz w:val="28"/>
        </w:rPr>
        <w:t xml:space="preserve">I – от 3,2 до 7 м, водоприток в горные выработки 2,2 </w:t>
      </w:r>
      <w:r>
        <w:rPr>
          <w:sz w:val="28"/>
        </w:rPr>
        <w:t>м</w:t>
      </w:r>
      <w:r>
        <w:rPr>
          <w:sz w:val="28"/>
          <w:vertAlign w:val="superscript"/>
        </w:rPr>
        <w:t>3</w:t>
      </w:r>
      <w:r>
        <w:rPr>
          <w:sz w:val="28"/>
        </w:rPr>
        <w:t>/час.</w:t>
      </w:r>
      <w:r>
        <w:rPr>
          <w:sz w:val="28"/>
        </w:rPr>
        <w:t xml:space="preserve"> </w:t>
      </w:r>
      <w:r>
        <w:rPr>
          <w:sz w:val="28"/>
        </w:rPr>
        <w:t>По заключению Центральной лаборатории ДВКГЭ исследованные пески двух технологических проб месторождения Сопка Лысая пригодны для бетона М-300 и в штукатурных (М-50) растворах.</w:t>
      </w:r>
    </w:p>
    <w:p w14:paraId="C5000000">
      <w:pPr>
        <w:pStyle w:val="Style_3"/>
        <w:numPr>
          <w:ilvl w:val="0"/>
          <w:numId w:val="1"/>
        </w:numPr>
        <w:tabs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Протоколом Территориальной комиссии по запасам полезных ископаемых от 21.12.1973 № 16 </w:t>
      </w:r>
      <w:r>
        <w:rPr>
          <w:sz w:val="28"/>
        </w:rPr>
        <w:t>на</w:t>
      </w:r>
      <w:r>
        <w:rPr>
          <w:sz w:val="28"/>
        </w:rPr>
        <w:t xml:space="preserve"> месторождении Сопка Лысая </w:t>
      </w:r>
      <w:r>
        <w:rPr>
          <w:sz w:val="28"/>
        </w:rPr>
        <w:t xml:space="preserve">утверждены балансовые запасы песка </w:t>
      </w:r>
      <w:r>
        <w:rPr>
          <w:sz w:val="28"/>
        </w:rPr>
        <w:t xml:space="preserve">строительного </w:t>
      </w:r>
      <w:r>
        <w:rPr>
          <w:sz w:val="28"/>
        </w:rPr>
        <w:t>по категории А+В – 1124,6 тыс. м</w:t>
      </w:r>
      <w:r>
        <w:rPr>
          <w:sz w:val="28"/>
          <w:vertAlign w:val="superscript"/>
        </w:rPr>
        <w:t>3</w:t>
      </w:r>
      <w:r>
        <w:rPr>
          <w:sz w:val="28"/>
        </w:rPr>
        <w:t>, по</w:t>
      </w:r>
      <w:r>
        <w:rPr>
          <w:sz w:val="28"/>
        </w:rPr>
        <w:t xml:space="preserve"> категории С</w:t>
      </w:r>
      <w:r>
        <w:rPr>
          <w:sz w:val="28"/>
          <w:vertAlign w:val="subscript"/>
        </w:rPr>
        <w:t>1</w:t>
      </w:r>
      <w:r>
        <w:rPr>
          <w:sz w:val="28"/>
        </w:rPr>
        <w:t xml:space="preserve"> – 1816,9 </w:t>
      </w:r>
      <w:r>
        <w:rPr>
          <w:sz w:val="28"/>
        </w:rPr>
        <w:t>тыс. м</w:t>
      </w:r>
      <w:r>
        <w:rPr>
          <w:sz w:val="28"/>
          <w:vertAlign w:val="superscript"/>
        </w:rPr>
        <w:t>3</w:t>
      </w:r>
      <w:r>
        <w:rPr>
          <w:sz w:val="28"/>
        </w:rPr>
        <w:t>, в том числе: по участку «Сопка Лысая-1»</w:t>
      </w:r>
      <w:r>
        <w:rPr>
          <w:sz w:val="28"/>
        </w:rPr>
        <w:t xml:space="preserve"> – по категории В – 530,4 </w:t>
      </w:r>
      <w:r>
        <w:rPr>
          <w:sz w:val="28"/>
        </w:rPr>
        <w:t>тыс. м</w:t>
      </w:r>
      <w:r>
        <w:rPr>
          <w:sz w:val="28"/>
          <w:vertAlign w:val="superscript"/>
        </w:rPr>
        <w:t>3</w:t>
      </w:r>
      <w:r>
        <w:rPr>
          <w:sz w:val="28"/>
        </w:rPr>
        <w:t xml:space="preserve">, по категории </w:t>
      </w:r>
      <w:r>
        <w:rPr>
          <w:sz w:val="28"/>
        </w:rPr>
        <w:t>С</w:t>
      </w:r>
      <w:r>
        <w:rPr>
          <w:sz w:val="28"/>
          <w:vertAlign w:val="subscript"/>
        </w:rPr>
        <w:t>1</w:t>
      </w:r>
      <w:r>
        <w:rPr>
          <w:sz w:val="28"/>
        </w:rPr>
        <w:t xml:space="preserve"> – 605,2</w:t>
      </w:r>
      <w:r>
        <w:rPr>
          <w:sz w:val="28"/>
        </w:rPr>
        <w:t xml:space="preserve"> </w:t>
      </w:r>
      <w:r>
        <w:rPr>
          <w:sz w:val="28"/>
        </w:rPr>
        <w:t>тыс. м</w:t>
      </w:r>
      <w:r>
        <w:rPr>
          <w:sz w:val="28"/>
          <w:vertAlign w:val="superscript"/>
        </w:rPr>
        <w:t>3</w:t>
      </w:r>
      <w:r>
        <w:rPr>
          <w:sz w:val="28"/>
        </w:rPr>
        <w:t xml:space="preserve">; </w:t>
      </w:r>
      <w:r>
        <w:rPr>
          <w:sz w:val="28"/>
        </w:rPr>
        <w:t xml:space="preserve">по участку </w:t>
      </w:r>
      <w:r>
        <w:rPr>
          <w:sz w:val="28"/>
        </w:rPr>
        <w:t>«Сопка Лысая-2»</w:t>
      </w:r>
      <w:r>
        <w:rPr>
          <w:sz w:val="28"/>
        </w:rPr>
        <w:t xml:space="preserve"> –</w:t>
      </w:r>
      <w:r>
        <w:rPr>
          <w:sz w:val="28"/>
        </w:rPr>
        <w:t xml:space="preserve"> по категории В – 594,2 </w:t>
      </w:r>
      <w:r>
        <w:rPr>
          <w:sz w:val="28"/>
        </w:rPr>
        <w:t>тыс. м</w:t>
      </w:r>
      <w:r>
        <w:rPr>
          <w:sz w:val="28"/>
          <w:vertAlign w:val="superscript"/>
        </w:rPr>
        <w:t>3</w:t>
      </w:r>
      <w:r>
        <w:rPr>
          <w:sz w:val="28"/>
        </w:rPr>
        <w:t xml:space="preserve">, по категории </w:t>
      </w:r>
      <w:r>
        <w:rPr>
          <w:sz w:val="28"/>
        </w:rPr>
        <w:t>С</w:t>
      </w:r>
      <w:r>
        <w:rPr>
          <w:sz w:val="28"/>
          <w:vertAlign w:val="subscript"/>
        </w:rPr>
        <w:t>1</w:t>
      </w:r>
      <w:r>
        <w:rPr>
          <w:sz w:val="28"/>
        </w:rPr>
        <w:t xml:space="preserve"> – </w:t>
      </w:r>
      <w:r>
        <w:rPr>
          <w:sz w:val="28"/>
        </w:rPr>
        <w:t xml:space="preserve">1211,7 </w:t>
      </w:r>
      <w:r>
        <w:rPr>
          <w:sz w:val="28"/>
        </w:rPr>
        <w:t>тыс. м</w:t>
      </w:r>
      <w:r>
        <w:rPr>
          <w:sz w:val="28"/>
          <w:vertAlign w:val="superscript"/>
        </w:rPr>
        <w:t>3</w:t>
      </w:r>
      <w:r>
        <w:rPr>
          <w:sz w:val="28"/>
        </w:rPr>
        <w:t>.</w:t>
      </w:r>
      <w:r>
        <w:rPr>
          <w:sz w:val="28"/>
        </w:rPr>
        <w:t xml:space="preserve"> По состоянию на 01.01.202</w:t>
      </w:r>
      <w:r>
        <w:rPr>
          <w:sz w:val="28"/>
        </w:rPr>
        <w:t>3</w:t>
      </w:r>
      <w:r>
        <w:rPr>
          <w:sz w:val="28"/>
        </w:rPr>
        <w:t xml:space="preserve"> запасы песка строительного месторождения Сопка Лысая по категориям А+В+С</w:t>
      </w:r>
      <w:r>
        <w:rPr>
          <w:sz w:val="28"/>
          <w:vertAlign w:val="subscript"/>
        </w:rPr>
        <w:t>1</w:t>
      </w:r>
      <w:r>
        <w:rPr>
          <w:sz w:val="28"/>
        </w:rPr>
        <w:t xml:space="preserve"> составляют 2435,9 тыс</w:t>
      </w:r>
      <w:r>
        <w:rPr>
          <w:sz w:val="28"/>
        </w:rPr>
        <w:t>.</w:t>
      </w:r>
      <w:r>
        <w:rPr>
          <w:sz w:val="28"/>
        </w:rPr>
        <w:t> м</w:t>
      </w:r>
      <w:r>
        <w:rPr>
          <w:sz w:val="28"/>
          <w:vertAlign w:val="superscript"/>
        </w:rPr>
        <w:t>3</w:t>
      </w:r>
      <w:r>
        <w:rPr>
          <w:sz w:val="28"/>
        </w:rPr>
        <w:t>.</w:t>
      </w:r>
    </w:p>
    <w:p w14:paraId="C6000000">
      <w:pPr>
        <w:pStyle w:val="Style_3"/>
        <w:numPr>
          <w:ilvl w:val="0"/>
          <w:numId w:val="1"/>
        </w:numPr>
        <w:tabs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>Участок недр «Сопка Лысая-1» пересекает земельный участок с кадастровым номером 41:05:0101005:530, находящийся в аренде у юридического лица, сооружение с кадастровым номером 41:00:0000000:2227, находящееся в собственности у юридического лица, кроме того данный участок недр частично расположен в границах Елизовского городского поселения.</w:t>
      </w:r>
    </w:p>
    <w:p w14:paraId="C7000000">
      <w:pPr>
        <w:pStyle w:val="Style_3"/>
        <w:numPr>
          <w:ilvl w:val="0"/>
          <w:numId w:val="1"/>
        </w:numPr>
        <w:tabs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>Участок недр «Сопка Лысая-2» пересекает земельные участки с кадастровыми номерами 41:05:0101063:848, 41:05:0101063:847, 41:05:0101063:1075, находящиеся в собственности Российской Федерации; 41:05:0101063:860, находящийся в собственности у физического лица; 41:05:0101063:728, находящийся в аренде у физического лица.</w:t>
      </w:r>
    </w:p>
    <w:p w14:paraId="C8000000">
      <w:pPr>
        <w:tabs>
          <w:tab w:leader="none" w:pos="708" w:val="clear"/>
          <w:tab w:leader="none" w:pos="993" w:val="left"/>
          <w:tab w:leader="none" w:pos="1276" w:val="left"/>
        </w:tabs>
        <w:spacing w:after="170" w:before="0"/>
        <w:ind w:firstLine="709" w:left="0" w:right="0"/>
        <w:contextualSpacing w:val="1"/>
        <w:jc w:val="both"/>
        <w:rPr>
          <w:color w:val="C9211E"/>
          <w:sz w:val="28"/>
        </w:rPr>
      </w:pPr>
      <w:r>
        <w:rPr>
          <w:sz w:val="28"/>
        </w:rPr>
        <w:t>Схема расположения участков недр «Сопка Лысая-1» и «Сопка Лысая-2», географические координаты угловых точек в государственной географической системе координат ГСК-2011 и площадь участков недр:</w:t>
      </w:r>
    </w:p>
    <w:p w14:paraId="C9000000">
      <w:pPr>
        <w:pStyle w:val="Style_3"/>
        <w:numPr>
          <w:numId w:val="9"/>
        </w:numPr>
        <w:tabs>
          <w:tab w:leader="none" w:pos="1134" w:val="left"/>
        </w:tabs>
        <w:spacing w:line="240" w:lineRule="auto"/>
        <w:ind/>
        <w:jc w:val="both"/>
        <w:rPr>
          <w:sz w:val="28"/>
        </w:rPr>
      </w:pPr>
      <w:r>
        <w:rPr>
          <w:sz w:val="28"/>
        </w:rPr>
        <w:t>Участок недр местного значения «Сопка Лысая-1»</w:t>
      </w:r>
    </w:p>
    <w:tbl>
      <w:tblPr>
        <w:tblStyle w:val="Style_6"/>
        <w:tblInd w:type="dxa" w:w="-5"/>
        <w:tblLayout w:type="fixed"/>
        <w:tblCellMar>
          <w:top w:type="dxa" w:w="55"/>
          <w:left w:type="dxa" w:w="55"/>
          <w:bottom w:type="dxa" w:w="55"/>
          <w:right w:type="dxa" w:w="55"/>
        </w:tblCellMar>
      </w:tblPr>
      <w:tblGrid>
        <w:gridCol w:w="852"/>
        <w:gridCol w:w="3075"/>
        <w:gridCol w:w="2550"/>
        <w:gridCol w:w="3166"/>
      </w:tblGrid>
      <w:tr>
        <w:tc>
          <w:tcPr>
            <w:tcW w:type="dxa" w:w="852"/>
            <w:vMerge w:val="restart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CA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 xml:space="preserve">№№ </w:t>
            </w:r>
            <w:r>
              <w:rPr>
                <w:color w:val="000000"/>
                <w:spacing w:val="0"/>
                <w:sz w:val="28"/>
              </w:rPr>
              <w:t>точек</w:t>
            </w:r>
          </w:p>
        </w:tc>
        <w:tc>
          <w:tcPr>
            <w:tcW w:type="dxa" w:w="5625"/>
            <w:gridSpan w:val="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CB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 xml:space="preserve">Координаты </w:t>
            </w:r>
          </w:p>
        </w:tc>
        <w:tc>
          <w:tcPr>
            <w:tcW w:type="dxa" w:w="3166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CC000000">
            <w:pPr>
              <w:ind/>
              <w:jc w:val="center"/>
            </w:pPr>
            <w:r>
              <w:rPr>
                <w:sz w:val="28"/>
              </w:rPr>
              <w:t>Площадь</w:t>
            </w:r>
          </w:p>
        </w:tc>
      </w:tr>
      <w:tr>
        <w:tc>
          <w:tcPr>
            <w:tcW w:type="dxa" w:w="852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CD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с.ш.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CE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в.д.</w:t>
            </w:r>
          </w:p>
        </w:tc>
        <w:tc>
          <w:tcPr>
            <w:tcW w:type="dxa" w:w="3166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CF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pacing w:val="0"/>
              </w:rPr>
            </w:pPr>
            <w:r>
              <w:rPr>
                <w:color w:val="000000"/>
                <w:spacing w:val="0"/>
                <w:sz w:val="28"/>
              </w:rPr>
              <w:t>км</w:t>
            </w:r>
            <w:r>
              <w:rPr>
                <w:color w:val="000000"/>
                <w:spacing w:val="0"/>
                <w:sz w:val="28"/>
                <w:vertAlign w:val="superscript"/>
              </w:rPr>
              <w:t>2</w:t>
            </w:r>
          </w:p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D000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D1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53°09'27,023"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D2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158°23'23,447"</w:t>
            </w:r>
          </w:p>
        </w:tc>
        <w:tc>
          <w:tcPr>
            <w:tcW w:type="dxa" w:w="3166"/>
            <w:vMerge w:val="restart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D3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</w:p>
          <w:p w14:paraId="D4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</w:p>
          <w:p w14:paraId="D5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</w:p>
          <w:p w14:paraId="D6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0,</w:t>
            </w:r>
            <w:r>
              <w:rPr>
                <w:sz w:val="28"/>
              </w:rPr>
              <w:t>211</w:t>
            </w:r>
          </w:p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D700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2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D8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53°09'30,957"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D9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158°23'31,589"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DA00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3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DB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53°09'34,507"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DC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158°23'39,447"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DD00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4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DE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53°09'41,140"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DF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158°23'51,847"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E000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E1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53°09'29,889"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E2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158°23'47,606"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E300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E4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53°09'24,154"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E5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158°23'42,120"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E600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E7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53°09'19,767"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E8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158°23'41,678"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E900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EA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53°09'14,422"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EB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158°23'39,474"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EC00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ED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53°09'13,143"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EE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158°23'27,788"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EF00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F0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53°09'19,338"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F1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158°23'23,915"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F200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F3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53°09'22,355"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F4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158°23'26,826"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F500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F6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53°09'22,692"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F7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158°23'28,611"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F800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F9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53°09'24,513"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FA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158°23'26,557"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FB00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14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FC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53°09'24,384"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FD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158°23'24,673"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FE00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15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FF00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53°09'24,686"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00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158°23'23,646"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01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16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02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53°09'26,354"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03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158°23'23,484"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</w:tbl>
    <w:p w14:paraId="04010000">
      <w:pPr>
        <w:tabs>
          <w:tab w:leader="none" w:pos="993" w:val="left"/>
          <w:tab w:leader="none" w:pos="1276" w:val="left"/>
        </w:tabs>
        <w:ind/>
        <w:jc w:val="both"/>
        <w:rPr>
          <w:color w:val="000000"/>
          <w:sz w:val="28"/>
        </w:rPr>
      </w:pPr>
    </w:p>
    <w:p w14:paraId="05010000">
      <w:pPr>
        <w:tabs>
          <w:tab w:leader="none" w:pos="993" w:val="left"/>
          <w:tab w:leader="none" w:pos="1276" w:val="left"/>
        </w:tabs>
        <w:ind/>
        <w:jc w:val="both"/>
        <w:rPr>
          <w:color w:val="000000"/>
          <w:sz w:val="28"/>
        </w:rPr>
      </w:pPr>
      <w:r>
        <w:drawing>
          <wp:inline>
            <wp:extent cx="6120130" cy="5376041"/>
            <wp:effectExtent b="0" l="0" r="0" t="0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2"/>
                    <a:stretch/>
                  </pic:blipFill>
                  <pic:spPr>
                    <a:xfrm flipH="false" flipV="false" rot="0">
                      <a:ext cx="6120130" cy="5376041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6010000">
      <w:pPr>
        <w:tabs>
          <w:tab w:leader="none" w:pos="993" w:val="left"/>
          <w:tab w:leader="none" w:pos="1276" w:val="left"/>
        </w:tabs>
        <w:ind/>
        <w:jc w:val="both"/>
        <w:rPr>
          <w:color w:val="000000"/>
          <w:sz w:val="28"/>
        </w:rPr>
      </w:pPr>
    </w:p>
    <w:p w14:paraId="07010000">
      <w:pPr>
        <w:tabs>
          <w:tab w:leader="none" w:pos="993" w:val="left"/>
          <w:tab w:leader="none" w:pos="1276" w:val="left"/>
        </w:tabs>
        <w:ind/>
        <w:jc w:val="both"/>
        <w:rPr>
          <w:color w:val="000000"/>
          <w:sz w:val="28"/>
        </w:rPr>
      </w:pPr>
    </w:p>
    <w:p w14:paraId="08010000">
      <w:pPr>
        <w:pStyle w:val="Style_3"/>
        <w:numPr>
          <w:numId w:val="9"/>
        </w:numPr>
        <w:ind/>
        <w:jc w:val="left"/>
        <w:rPr>
          <w:color w:val="000000"/>
          <w:sz w:val="28"/>
        </w:rPr>
      </w:pPr>
      <w:r>
        <w:rPr>
          <w:color w:val="000000"/>
          <w:sz w:val="28"/>
        </w:rPr>
        <w:t>Участок недр местного значения «Сопка Лысая-2»</w:t>
      </w:r>
    </w:p>
    <w:tbl>
      <w:tblPr>
        <w:tblStyle w:val="Style_6"/>
        <w:tblInd w:type="dxa" w:w="-5"/>
        <w:tblLayout w:type="fixed"/>
        <w:tblCellMar>
          <w:top w:type="dxa" w:w="55"/>
          <w:left w:type="dxa" w:w="55"/>
          <w:bottom w:type="dxa" w:w="55"/>
          <w:right w:type="dxa" w:w="55"/>
        </w:tblCellMar>
      </w:tblPr>
      <w:tblGrid>
        <w:gridCol w:w="852"/>
        <w:gridCol w:w="3075"/>
        <w:gridCol w:w="2550"/>
        <w:gridCol w:w="3166"/>
      </w:tblGrid>
      <w:tr>
        <w:tc>
          <w:tcPr>
            <w:tcW w:type="dxa" w:w="852"/>
            <w:vMerge w:val="restart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09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 xml:space="preserve">№№ </w:t>
            </w:r>
            <w:r>
              <w:rPr>
                <w:color w:val="000000"/>
                <w:spacing w:val="0"/>
                <w:sz w:val="28"/>
              </w:rPr>
              <w:t>точек</w:t>
            </w:r>
          </w:p>
        </w:tc>
        <w:tc>
          <w:tcPr>
            <w:tcW w:type="dxa" w:w="5625"/>
            <w:gridSpan w:val="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0A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 xml:space="preserve">Координаты </w:t>
            </w:r>
          </w:p>
        </w:tc>
        <w:tc>
          <w:tcPr>
            <w:tcW w:type="dxa" w:w="3166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0B010000">
            <w:pPr>
              <w:ind/>
              <w:jc w:val="center"/>
            </w:pPr>
            <w:r>
              <w:rPr>
                <w:sz w:val="28"/>
              </w:rPr>
              <w:t>Площадь</w:t>
            </w:r>
          </w:p>
        </w:tc>
      </w:tr>
      <w:tr>
        <w:tc>
          <w:tcPr>
            <w:tcW w:type="dxa" w:w="852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0C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с.ш.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0D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в.д.</w:t>
            </w:r>
          </w:p>
        </w:tc>
        <w:tc>
          <w:tcPr>
            <w:tcW w:type="dxa" w:w="3166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0E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color w:val="000000"/>
                <w:spacing w:val="0"/>
              </w:rPr>
            </w:pPr>
            <w:r>
              <w:rPr>
                <w:color w:val="000000"/>
                <w:spacing w:val="0"/>
                <w:sz w:val="28"/>
              </w:rPr>
              <w:t>км</w:t>
            </w:r>
            <w:r>
              <w:rPr>
                <w:color w:val="000000"/>
                <w:spacing w:val="0"/>
                <w:sz w:val="28"/>
                <w:vertAlign w:val="superscript"/>
              </w:rPr>
              <w:t>2</w:t>
            </w:r>
          </w:p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0F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10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53°08'33,742"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11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158°23'51,651"</w:t>
            </w:r>
          </w:p>
        </w:tc>
        <w:tc>
          <w:tcPr>
            <w:tcW w:type="dxa" w:w="3166"/>
            <w:vMerge w:val="restart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12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</w:p>
          <w:p w14:paraId="13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0,</w:t>
            </w:r>
            <w:r>
              <w:rPr>
                <w:sz w:val="28"/>
              </w:rPr>
              <w:t>531</w:t>
            </w:r>
          </w:p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14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2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15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53°08'34,807"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16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158°24'03,740"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17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3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18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53°08'37,803"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19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158°24'22,065"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1A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4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1B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53°08'25,032"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1C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158°24'27,093"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1D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1E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53°08'24,680"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1F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158°24'21,414"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20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21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53°08'23,233"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22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158°24'35,034"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23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24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53°08'19,244"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25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158°24'37,999"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26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27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53°08'18,243"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28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158°24'35,988"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29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2A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53°08'14,853"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2B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158°24'45,717"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2C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2D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53°08'09,653"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2E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158°24'40,563"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2F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30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53°08'06,709"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31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158°24'47,848"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32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33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53°07'59,643"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34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158°24'46,099"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35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36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53°07'57,063"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37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158°24'39,230"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38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14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39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53°07'58,636"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3A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158°24'30,923"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3B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15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3C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53°08'0,8779"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3D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158°24'32,106"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3E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16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3F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53°08'02,401"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40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158°24'32,071"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41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17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42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53°08'03,186"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43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158°24'32,100"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44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18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45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53°08'06,048"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46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158°24'31,850"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47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19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48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53°08'07,982"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49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158°24'31,388"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4A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20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4B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53°08'09,287"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4C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158°24'30,869"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4D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21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4E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53°08'10,543"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4F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158°24'29,625"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50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22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51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53°08'11,832"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52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158°24'28,869"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53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23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54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53°08'12,716"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55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158°24'28,052"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56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24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57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53°08'13,571"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58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158°24'27,790"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59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25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5A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53°08'14,214"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5B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158°24'26,211"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5C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26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5D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53°08'15,264"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5E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158°24'25,485"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5F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27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60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53°08'15,916"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61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158°24'25,713"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62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28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63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53°08'16,950"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64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158°24'24,617"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65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29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66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53°08'17,643"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67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158°24'23,605"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68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30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69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53°08'19,043"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6A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158°24'21,410"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6B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31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6C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53°08'19,812"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6D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158°24'19,460"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6E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32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6F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53°08'20,523"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70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158°24'17,327"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71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33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72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53°08'21,328"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73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158°24'15,007"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74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34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75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53°08'22,329</w:t>
            </w:r>
            <w:r>
              <w:rPr>
                <w:color w:val="000000"/>
                <w:spacing w:val="0"/>
                <w:sz w:val="28"/>
              </w:rPr>
              <w:t>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76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158°24'13,687"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77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35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78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53°08'23,070"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79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158°24'09,614"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7A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36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7B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53°08'23,220"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7C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158°24'06,262"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7D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37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7E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53°08'23,124"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7F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158°24'04,509"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80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38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81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53°08'22,764"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82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158°24'00,873"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83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39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84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53°08'21,990"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85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158°23'58,193"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  <w:tr>
        <w:tc>
          <w:tcPr>
            <w:tcW w:type="dxa" w:w="85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86010000">
            <w:pPr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sz w:val="28"/>
              </w:rPr>
              <w:t>40</w:t>
            </w:r>
          </w:p>
        </w:tc>
        <w:tc>
          <w:tcPr>
            <w:tcW w:type="dxa" w:w="307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87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53°08'21,304"</w:t>
            </w:r>
          </w:p>
        </w:tc>
        <w:tc>
          <w:tcPr>
            <w:tcW w:type="dxa" w:w="2550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 w14:paraId="88010000">
            <w:pPr>
              <w:pStyle w:val="Style_7"/>
              <w:widowControl w:val="0"/>
              <w:spacing w:after="0" w:before="0" w:line="240" w:lineRule="auto"/>
              <w:ind w:firstLine="0" w:left="0" w:right="0"/>
              <w:jc w:val="center"/>
              <w:rPr>
                <w:sz w:val="28"/>
              </w:rPr>
            </w:pPr>
            <w:r>
              <w:rPr>
                <w:color w:val="000000"/>
                <w:spacing w:val="0"/>
                <w:sz w:val="28"/>
              </w:rPr>
              <w:t>158°23'56,034"</w:t>
            </w:r>
          </w:p>
        </w:tc>
        <w:tc>
          <w:tcPr>
            <w:tcW w:type="dxa" w:w="3166"/>
            <w:gridSpan w:val="1"/>
            <w:vMerge w:val="continue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tcMar>
              <w:top w:type="dxa" w:w="55"/>
              <w:left w:type="dxa" w:w="55"/>
              <w:bottom w:type="dxa" w:w="55"/>
              <w:right w:type="dxa" w:w="55"/>
            </w:tcMar>
            <w:vAlign w:val="center"/>
          </w:tcPr>
          <w:p/>
        </w:tc>
      </w:tr>
    </w:tbl>
    <w:p w14:paraId="89010000">
      <w:pPr>
        <w:pStyle w:val="Style_3"/>
        <w:ind/>
        <w:jc w:val="left"/>
        <w:rPr>
          <w:color w:val="000000"/>
          <w:sz w:val="28"/>
        </w:rPr>
      </w:pPr>
    </w:p>
    <w:p w14:paraId="8A010000">
      <w:pPr>
        <w:rPr>
          <w:color w:themeColor="accent6" w:themeShade="80" w:val="994907"/>
        </w:rPr>
      </w:pPr>
      <w:r>
        <w:rPr>
          <w:color w:themeColor="accent6" w:themeShade="80" w:val="994907"/>
        </w:rPr>
        <w:drawing>
          <wp:inline>
            <wp:extent cx="6120130" cy="5040107"/>
            <wp:effectExtent b="0" l="0" r="0" t="0"/>
            <wp:docPr hidden="false" id="4" name="Picture 4"/>
            <a:graphic>
              <a:graphicData uri="http://schemas.openxmlformats.org/drawingml/2006/picture">
                <pic:pic>
                  <pic:nvPicPr>
                    <pic:cNvPr hidden="false" id="3" name="Picture 3"/>
                    <pic:cNvPicPr preferRelativeResize="true"/>
                  </pic:nvPicPr>
                  <pic:blipFill>
                    <a:blip r:embed="rId3"/>
                    <a:stretch/>
                  </pic:blipFill>
                  <pic:spPr>
                    <a:xfrm flipH="false" flipV="false" rot="0">
                      <a:ext cx="6120130" cy="5040107"/>
                    </a:xfrm>
                    <a:prstGeom prst="rect"/>
                  </pic:spPr>
                </pic:pic>
              </a:graphicData>
            </a:graphic>
          </wp:inline>
        </w:drawing>
      </w:r>
      <w:r>
        <w:rPr>
          <w:color w:themeColor="accent6" w:themeShade="80" w:val="994907"/>
        </w:rPr>
        <w:br w:type="page"/>
      </w:r>
    </w:p>
    <w:p w14:paraId="8B010000">
      <w:pPr>
        <w:pStyle w:val="Style_3"/>
        <w:spacing w:after="120" w:before="120"/>
        <w:ind w:firstLine="0" w:left="0"/>
        <w:jc w:val="center"/>
        <w:rPr>
          <w:sz w:val="28"/>
        </w:rPr>
      </w:pPr>
      <w:r>
        <w:rPr>
          <w:sz w:val="28"/>
        </w:rPr>
        <w:t>Основные условия пользования недрами</w:t>
      </w:r>
    </w:p>
    <w:p w14:paraId="8C010000">
      <w:pPr>
        <w:pStyle w:val="Style_3"/>
        <w:spacing w:after="120" w:before="120"/>
        <w:ind w:firstLine="0" w:left="1429"/>
        <w:rPr>
          <w:sz w:val="28"/>
        </w:rPr>
      </w:pPr>
    </w:p>
    <w:p w14:paraId="8D010000">
      <w:pPr>
        <w:pStyle w:val="Style_3"/>
        <w:numPr>
          <w:ilvl w:val="0"/>
          <w:numId w:val="1"/>
        </w:numPr>
        <w:tabs>
          <w:tab w:leader="none" w:pos="142" w:val="left"/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>Победитель аукциона должен осуществлять разведку и добычу полезного ископаемого в соответствии с нижеследующими основными условиями пользования недрами</w:t>
      </w:r>
      <w:r>
        <w:rPr>
          <w:sz w:val="28"/>
        </w:rPr>
        <w:t xml:space="preserve"> (далее – Основные условия пользования недрами).</w:t>
      </w:r>
    </w:p>
    <w:p w14:paraId="8E010000">
      <w:pPr>
        <w:pStyle w:val="Style_3"/>
        <w:numPr>
          <w:ilvl w:val="0"/>
          <w:numId w:val="1"/>
        </w:numPr>
        <w:tabs>
          <w:tab w:leader="none" w:pos="142" w:val="left"/>
          <w:tab w:leader="none" w:pos="851" w:val="left"/>
          <w:tab w:leader="none" w:pos="993" w:val="left"/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>Срок пользования участком недр исчисляется с даты государственной регистрации лицензии на пользование недрами (день внесения записи о государственной регистрации лицензии в государственный реестр участков недр, предоставленных в пользование, и лицензий на пользование недрами).</w:t>
      </w:r>
    </w:p>
    <w:p w14:paraId="8F010000">
      <w:pPr>
        <w:pStyle w:val="Style_3"/>
        <w:numPr>
          <w:ilvl w:val="0"/>
          <w:numId w:val="1"/>
        </w:numPr>
        <w:tabs>
          <w:tab w:leader="none" w:pos="142" w:val="left"/>
          <w:tab w:leader="none" w:pos="851" w:val="left"/>
          <w:tab w:leader="none" w:pos="993" w:val="left"/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>Сроки по</w:t>
      </w:r>
      <w:r>
        <w:rPr>
          <w:sz w:val="28"/>
        </w:rPr>
        <w:t>дготовки проектной документации</w:t>
      </w:r>
      <w:r>
        <w:rPr>
          <w:sz w:val="28"/>
        </w:rPr>
        <w:t>:</w:t>
      </w:r>
    </w:p>
    <w:p w14:paraId="90010000">
      <w:pPr>
        <w:pStyle w:val="Style_3"/>
        <w:widowControl w:val="0"/>
        <w:numPr>
          <w:ilvl w:val="0"/>
          <w:numId w:val="10"/>
        </w:numPr>
        <w:tabs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>с</w:t>
      </w:r>
      <w:r>
        <w:rPr>
          <w:sz w:val="28"/>
        </w:rPr>
        <w:t xml:space="preserve">рок утверждения технического проекта разработки месторождения </w:t>
      </w:r>
      <w:r>
        <w:rPr>
          <w:sz w:val="28"/>
        </w:rPr>
        <w:t>песчано-гравийной смеси</w:t>
      </w:r>
      <w:r>
        <w:rPr>
          <w:sz w:val="28"/>
        </w:rPr>
        <w:t xml:space="preserve">, согласованного </w:t>
      </w:r>
      <w:r>
        <w:rPr>
          <w:sz w:val="28"/>
        </w:rPr>
        <w:t xml:space="preserve">в соответствии со статьей 23.2 </w:t>
      </w:r>
      <w:r>
        <w:rPr>
          <w:sz w:val="28"/>
        </w:rPr>
        <w:t xml:space="preserve">Закона «О недрах» – не позднее </w:t>
      </w:r>
      <w:r>
        <w:rPr>
          <w:sz w:val="28"/>
        </w:rPr>
        <w:t>8 (восьми) месяцев со дня государственной регистрации лицензии.</w:t>
      </w:r>
    </w:p>
    <w:p w14:paraId="91010000">
      <w:pPr>
        <w:pStyle w:val="Style_3"/>
        <w:widowControl w:val="0"/>
        <w:ind w:firstLine="709" w:left="0"/>
        <w:jc w:val="both"/>
        <w:rPr>
          <w:sz w:val="28"/>
        </w:rPr>
      </w:pPr>
      <w:r>
        <w:rPr>
          <w:sz w:val="28"/>
        </w:rPr>
        <w:t>Проектные материалы разраб</w:t>
      </w:r>
      <w:r>
        <w:rPr>
          <w:sz w:val="28"/>
        </w:rPr>
        <w:t>атываются</w:t>
      </w:r>
      <w:r>
        <w:rPr>
          <w:sz w:val="28"/>
        </w:rPr>
        <w:t xml:space="preserve"> в соответствии с действующими нормативными правовыми актами Российской Федерации в области разработки месторождений твердых полезных ископаемых (часть 4 статьи 23.2 Закона «О недрах»), с учетом запретов и (или) ограничений по проведению работ на территориях со специальным правовым режимом, в том числе с учетом обеспечения исполнения требований Водного кодекса Российской Федерации в части соблюдения режима прибрежных защитных полос и водоохранных зон водных объектов.</w:t>
      </w:r>
      <w:r>
        <w:rPr>
          <w:sz w:val="28"/>
        </w:rPr>
        <w:t xml:space="preserve"> Д</w:t>
      </w:r>
      <w:r>
        <w:rPr>
          <w:sz w:val="28"/>
        </w:rPr>
        <w:t>окумент</w:t>
      </w:r>
      <w:r>
        <w:rPr>
          <w:sz w:val="28"/>
        </w:rPr>
        <w:t>ы</w:t>
      </w:r>
      <w:r>
        <w:rPr>
          <w:sz w:val="28"/>
        </w:rPr>
        <w:t xml:space="preserve">, определяющих уточненные границы горного отвода (с характерными разрезами, ведомостью координат угловых точек) </w:t>
      </w:r>
      <w:r>
        <w:rPr>
          <w:sz w:val="28"/>
        </w:rPr>
        <w:t xml:space="preserve">разрабатываются </w:t>
      </w:r>
      <w:r>
        <w:rPr>
          <w:sz w:val="28"/>
        </w:rPr>
        <w:t>в соответствии с пунктом 19 части 1 статьи 3, статьи 7 Закона «О недрах.</w:t>
      </w:r>
    </w:p>
    <w:p w14:paraId="92010000">
      <w:pPr>
        <w:pStyle w:val="Style_3"/>
        <w:widowControl w:val="0"/>
        <w:numPr>
          <w:ilvl w:val="0"/>
          <w:numId w:val="10"/>
        </w:numPr>
        <w:tabs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>с</w:t>
      </w:r>
      <w:r>
        <w:rPr>
          <w:sz w:val="28"/>
        </w:rPr>
        <w:t>рок ввода</w:t>
      </w:r>
      <w:r>
        <w:rPr>
          <w:sz w:val="28"/>
        </w:rPr>
        <w:t xml:space="preserve"> месторождения полезных ископаемых в разработку (эксплуатацию)</w:t>
      </w:r>
      <w:r>
        <w:rPr>
          <w:sz w:val="28"/>
        </w:rPr>
        <w:t xml:space="preserve"> – не позднее </w:t>
      </w:r>
      <w:r>
        <w:rPr>
          <w:sz w:val="28"/>
        </w:rPr>
        <w:t>1</w:t>
      </w:r>
      <w:r>
        <w:rPr>
          <w:sz w:val="28"/>
        </w:rPr>
        <w:t>2 (</w:t>
      </w:r>
      <w:r>
        <w:rPr>
          <w:sz w:val="28"/>
        </w:rPr>
        <w:t>двенадцати</w:t>
      </w:r>
      <w:r>
        <w:rPr>
          <w:sz w:val="28"/>
        </w:rPr>
        <w:t>) месяцев со дня государственной регистрации лицензии</w:t>
      </w:r>
      <w:r>
        <w:rPr>
          <w:sz w:val="28"/>
        </w:rPr>
        <w:t xml:space="preserve"> на пользование недрами.</w:t>
      </w:r>
      <w:r>
        <w:rPr>
          <w:sz w:val="28"/>
        </w:rPr>
        <w:t xml:space="preserve"> </w:t>
      </w:r>
    </w:p>
    <w:p w14:paraId="93010000">
      <w:pPr>
        <w:pStyle w:val="Style_3"/>
        <w:widowControl w:val="0"/>
        <w:numPr>
          <w:ilvl w:val="0"/>
          <w:numId w:val="10"/>
        </w:numPr>
        <w:tabs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>с</w:t>
      </w:r>
      <w:r>
        <w:rPr>
          <w:sz w:val="28"/>
        </w:rPr>
        <w:t>рок подготовки проекта рекультивации земель</w:t>
      </w:r>
      <w:r>
        <w:rPr>
          <w:sz w:val="28"/>
        </w:rPr>
        <w:t xml:space="preserve"> – в срок не позднее 6 (шести) месяцев до установленного срока завершения отработки месторождения.</w:t>
      </w:r>
    </w:p>
    <w:p w14:paraId="94010000">
      <w:pPr>
        <w:pStyle w:val="Style_3"/>
        <w:numPr>
          <w:ilvl w:val="0"/>
          <w:numId w:val="1"/>
        </w:numPr>
        <w:tabs>
          <w:tab w:leader="none" w:pos="142" w:val="left"/>
          <w:tab w:leader="none" w:pos="851" w:val="left"/>
          <w:tab w:leader="none" w:pos="993" w:val="left"/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>Пользователь недр обязан выполнять требования, предусмотренные статьей 23 и частью 5 статьи 24 Закона «О недрах».</w:t>
      </w:r>
    </w:p>
    <w:p w14:paraId="95010000">
      <w:pPr>
        <w:pStyle w:val="Style_3"/>
        <w:numPr>
          <w:ilvl w:val="0"/>
          <w:numId w:val="1"/>
        </w:numPr>
        <w:tabs>
          <w:tab w:leader="none" w:pos="142" w:val="left"/>
          <w:tab w:leader="none" w:pos="851" w:val="left"/>
          <w:tab w:leader="none" w:pos="993" w:val="left"/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>Пользование недрами осуществляется в соответствии с техническим проектом разработки месторождения полезных ископаемых, техническим проектом ликвидации и консервации горных выработок, проектом рекультивации земель, нарушенных при пользовании недрами.</w:t>
      </w:r>
    </w:p>
    <w:p w14:paraId="96010000">
      <w:pPr>
        <w:pStyle w:val="Style_3"/>
        <w:numPr>
          <w:ilvl w:val="0"/>
          <w:numId w:val="1"/>
        </w:numPr>
        <w:tabs>
          <w:tab w:leader="none" w:pos="142" w:val="left"/>
          <w:tab w:leader="none" w:pos="851" w:val="left"/>
          <w:tab w:leader="none" w:pos="993" w:val="left"/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>По охране недр и окружающей среды, соблюдению границ водоохранных зон водных объектов, защите лесов, безопасному ведению работ, связанных с пользованием недрами, победитель аукциона обязуется обеспечить безусловное выполнение установленных законодательством Российской Федерации требований.</w:t>
      </w:r>
    </w:p>
    <w:p w14:paraId="97010000">
      <w:pPr>
        <w:pStyle w:val="Style_3"/>
        <w:numPr>
          <w:ilvl w:val="0"/>
          <w:numId w:val="1"/>
        </w:numPr>
        <w:tabs>
          <w:tab w:leader="none" w:pos="142" w:val="left"/>
          <w:tab w:leader="none" w:pos="851" w:val="left"/>
          <w:tab w:leader="none" w:pos="993" w:val="left"/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Предоставление в установленном порядке форм федерального государственного статистического наблюдения (государственной статистической отчетности) в сфере недропользования, установленных </w:t>
      </w:r>
      <w:r>
        <w:rPr>
          <w:sz w:val="28"/>
        </w:rPr>
        <w:t xml:space="preserve">законодательством Российской Федерации (ст. 32 Закона «О недрах», Федеральный </w:t>
      </w:r>
      <w:r>
        <w:rPr>
          <w:sz w:val="28"/>
        </w:rPr>
        <w:fldChar w:fldCharType="begin"/>
      </w:r>
      <w:r>
        <w:rPr>
          <w:sz w:val="28"/>
        </w:rPr>
        <w:instrText>HYPERLINK "consultantplus://offline/ref=396B047A891C8490E5EC709C96A1E29CCA7EECBCA1270DD269560DC91D6191F1D5412B0413E0864A27A2CF707DDAG1A"</w:instrText>
      </w:r>
      <w:r>
        <w:rPr>
          <w:sz w:val="28"/>
        </w:rPr>
        <w:fldChar w:fldCharType="separate"/>
      </w:r>
      <w:r>
        <w:rPr>
          <w:sz w:val="28"/>
        </w:rPr>
        <w:t>закон</w:t>
      </w:r>
      <w:r>
        <w:rPr>
          <w:sz w:val="28"/>
        </w:rPr>
        <w:fldChar w:fldCharType="end"/>
      </w:r>
      <w:r>
        <w:rPr>
          <w:sz w:val="28"/>
        </w:rPr>
        <w:t xml:space="preserve"> от 29.11.2007 № 282-ФЗ «Об официальном статистическом учете и системе государственной статистики в Российской Федерации») – в сроки, установленные в формах</w:t>
      </w:r>
      <w:r>
        <w:rPr>
          <w:sz w:val="28"/>
        </w:rPr>
        <w:t>.</w:t>
      </w:r>
    </w:p>
    <w:p w14:paraId="98010000">
      <w:pPr>
        <w:pStyle w:val="Style_3"/>
        <w:numPr>
          <w:ilvl w:val="0"/>
          <w:numId w:val="1"/>
        </w:numPr>
        <w:tabs>
          <w:tab w:leader="none" w:pos="142" w:val="left"/>
          <w:tab w:leader="none" w:pos="851" w:val="left"/>
          <w:tab w:leader="none" w:pos="993" w:val="left"/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>Платежи, налоги и сборы:</w:t>
      </w:r>
    </w:p>
    <w:p w14:paraId="99010000">
      <w:pPr>
        <w:ind w:firstLine="540" w:left="0"/>
        <w:jc w:val="both"/>
        <w:rPr>
          <w:sz w:val="28"/>
        </w:rPr>
      </w:pPr>
      <w:r>
        <w:rPr>
          <w:sz w:val="28"/>
        </w:rPr>
        <w:t xml:space="preserve">1) разовый платеж за пользование недрами, </w:t>
      </w:r>
      <w:r>
        <w:rPr>
          <w:sz w:val="28"/>
        </w:rPr>
        <w:t xml:space="preserve">установленный по результатам аукциона и </w:t>
      </w:r>
      <w:r>
        <w:rPr>
          <w:sz w:val="28"/>
        </w:rPr>
        <w:t>указанный в п</w:t>
      </w:r>
      <w:r>
        <w:rPr>
          <w:sz w:val="28"/>
        </w:rPr>
        <w:t xml:space="preserve">ротоколе о результатах аукциона или </w:t>
      </w:r>
      <w:r>
        <w:rPr>
          <w:sz w:val="28"/>
        </w:rPr>
        <w:t>протоколе рассмотрения заявок на участие в аукционе</w:t>
      </w:r>
      <w:r>
        <w:rPr>
          <w:sz w:val="28"/>
        </w:rPr>
        <w:t>,</w:t>
      </w:r>
      <w:r>
        <w:rPr>
          <w:sz w:val="28"/>
        </w:rPr>
        <w:t xml:space="preserve"> </w:t>
      </w:r>
      <w:r>
        <w:rPr>
          <w:sz w:val="28"/>
        </w:rPr>
        <w:t xml:space="preserve">за вычетом внесенного задатка </w:t>
      </w:r>
      <w:r>
        <w:rPr>
          <w:sz w:val="28"/>
        </w:rPr>
        <w:t>уплачивается</w:t>
      </w:r>
      <w:r>
        <w:rPr>
          <w:sz w:val="28"/>
        </w:rPr>
        <w:t xml:space="preserve"> победителем аукциона </w:t>
      </w:r>
      <w:r>
        <w:rPr>
          <w:sz w:val="28"/>
        </w:rPr>
        <w:t xml:space="preserve">в доход бюджета Камчатского края </w:t>
      </w:r>
      <w:r>
        <w:rPr>
          <w:sz w:val="28"/>
        </w:rPr>
        <w:t xml:space="preserve">в течение 30 дней </w:t>
      </w:r>
      <w:r>
        <w:rPr>
          <w:sz w:val="28"/>
        </w:rPr>
        <w:t xml:space="preserve">со дня размещения на официальном сайте протокола о результатах аукциона, протокола рассмотрения заявок на участие </w:t>
      </w:r>
      <w:r>
        <w:rPr>
          <w:sz w:val="28"/>
        </w:rPr>
        <w:t xml:space="preserve">по </w:t>
      </w:r>
      <w:r>
        <w:rPr>
          <w:sz w:val="28"/>
        </w:rPr>
        <w:t xml:space="preserve">следующим </w:t>
      </w:r>
      <w:r>
        <w:rPr>
          <w:sz w:val="28"/>
        </w:rPr>
        <w:t>реквизитам:</w:t>
      </w:r>
      <w:r>
        <w:rPr>
          <w:sz w:val="28"/>
        </w:rPr>
        <w:t xml:space="preserve"> </w:t>
      </w:r>
    </w:p>
    <w:p w14:paraId="9A010000">
      <w:pPr>
        <w:pStyle w:val="Style_3"/>
        <w:tabs>
          <w:tab w:leader="none" w:pos="0" w:val="left"/>
          <w:tab w:leader="none" w:pos="142" w:val="left"/>
          <w:tab w:leader="none" w:pos="709" w:val="left"/>
        </w:tabs>
        <w:ind w:firstLine="0" w:left="709"/>
        <w:jc w:val="both"/>
        <w:rPr>
          <w:sz w:val="28"/>
          <w:u w:val="single"/>
        </w:rPr>
      </w:pPr>
      <w:r>
        <w:rPr>
          <w:sz w:val="28"/>
          <w:u w:val="single"/>
        </w:rPr>
        <w:t>Наименование получателя:</w:t>
      </w:r>
    </w:p>
    <w:p w14:paraId="9B010000">
      <w:pPr>
        <w:pStyle w:val="Style_3"/>
        <w:tabs>
          <w:tab w:leader="none" w:pos="0" w:val="left"/>
          <w:tab w:leader="none" w:pos="142" w:val="left"/>
        </w:tabs>
        <w:ind w:firstLine="709" w:left="0"/>
        <w:jc w:val="both"/>
        <w:rPr>
          <w:sz w:val="28"/>
        </w:rPr>
      </w:pPr>
      <w:r>
        <w:rPr>
          <w:sz w:val="28"/>
        </w:rPr>
        <w:t>УФК по Камчатскому краю (Министерство природных ресурсов и экологии Камчатского края л/с 04382000990); ИНН 4101120894; КПП 410101001; ОКТМО 30701000.</w:t>
      </w:r>
    </w:p>
    <w:p w14:paraId="9C010000">
      <w:pPr>
        <w:pStyle w:val="Style_3"/>
        <w:tabs>
          <w:tab w:leader="none" w:pos="0" w:val="left"/>
          <w:tab w:leader="none" w:pos="142" w:val="left"/>
        </w:tabs>
        <w:ind w:firstLine="709" w:left="0"/>
        <w:jc w:val="both"/>
        <w:rPr>
          <w:sz w:val="28"/>
          <w:u w:val="single"/>
        </w:rPr>
      </w:pPr>
      <w:r>
        <w:rPr>
          <w:sz w:val="28"/>
          <w:u w:val="single"/>
        </w:rPr>
        <w:t>Банковские реквизиты получателя:</w:t>
      </w:r>
    </w:p>
    <w:p w14:paraId="9D010000">
      <w:pPr>
        <w:pStyle w:val="Style_3"/>
        <w:tabs>
          <w:tab w:leader="none" w:pos="0" w:val="left"/>
          <w:tab w:leader="none" w:pos="142" w:val="left"/>
        </w:tabs>
        <w:ind w:firstLine="709" w:left="0"/>
        <w:jc w:val="both"/>
        <w:rPr>
          <w:sz w:val="28"/>
        </w:rPr>
      </w:pPr>
      <w:r>
        <w:rPr>
          <w:sz w:val="28"/>
        </w:rPr>
        <w:t>Банк: ОТДЕЛЕНИЕ ПЕТРОПАВЛОВСК-КАМЧАТСКИЙ г. ПЕТРОПАВЛОВСК-КАМЧАТСКИЙ; р/с 40101810905070010003; БИК 043002001.</w:t>
      </w:r>
    </w:p>
    <w:p w14:paraId="9E010000">
      <w:pPr>
        <w:pStyle w:val="Style_3"/>
        <w:tabs>
          <w:tab w:leader="none" w:pos="0" w:val="left"/>
          <w:tab w:leader="none" w:pos="142" w:val="left"/>
        </w:tabs>
        <w:ind w:firstLine="709" w:left="0"/>
        <w:jc w:val="both"/>
        <w:rPr>
          <w:sz w:val="28"/>
          <w:u w:val="single"/>
        </w:rPr>
      </w:pPr>
      <w:r>
        <w:rPr>
          <w:sz w:val="28"/>
          <w:u w:val="single"/>
        </w:rPr>
        <w:t>Назначение платежа и код бюджетной классификации:</w:t>
      </w:r>
    </w:p>
    <w:p w14:paraId="9F010000">
      <w:pPr>
        <w:pStyle w:val="Style_3"/>
        <w:tabs>
          <w:tab w:leader="none" w:pos="0" w:val="left"/>
          <w:tab w:leader="none" w:pos="142" w:val="left"/>
        </w:tabs>
        <w:ind w:firstLine="709" w:left="0"/>
        <w:jc w:val="both"/>
        <w:rPr>
          <w:sz w:val="28"/>
        </w:rPr>
      </w:pPr>
      <w:r>
        <w:rPr>
          <w:sz w:val="28"/>
        </w:rPr>
        <w:t>Разовые платежи за пользование недрами при наступлении определенных событий, оговоренных в лицензии, при пользовании недрами на территории Российской Федерации по участкам недр местного значения; код 808 1 12 02012 01 0000 120.</w:t>
      </w:r>
    </w:p>
    <w:p w14:paraId="A0010000">
      <w:pPr>
        <w:tabs>
          <w:tab w:leader="none" w:pos="142" w:val="left"/>
          <w:tab w:leader="none" w:pos="851" w:val="left"/>
          <w:tab w:leader="none" w:pos="993" w:val="left"/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>2) налог на добычу полезных ископаемых (НДПИ) – ставка налога определяется в соответствии с налоговым законодательством Российской Федерации;</w:t>
      </w:r>
    </w:p>
    <w:p w14:paraId="A1010000">
      <w:pPr>
        <w:tabs>
          <w:tab w:leader="none" w:pos="142" w:val="left"/>
          <w:tab w:leader="none" w:pos="851" w:val="left"/>
          <w:tab w:leader="none" w:pos="993" w:val="left"/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>3) победитель аукциона уплачивает другие налоги и сборы, установленные законодательством Российской Федерации.</w:t>
      </w:r>
    </w:p>
    <w:p w14:paraId="A2010000">
      <w:pPr>
        <w:pStyle w:val="Style_3"/>
        <w:numPr>
          <w:ilvl w:val="0"/>
          <w:numId w:val="1"/>
        </w:numPr>
        <w:tabs>
          <w:tab w:leader="none" w:pos="142" w:val="left"/>
          <w:tab w:leader="none" w:pos="851" w:val="left"/>
          <w:tab w:leader="none" w:pos="993" w:val="left"/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>Право собственности на геологическую информацию о недрах: победитель аукциона, как пользователь недр, будет иметь право на получение в установленном порядке полного объема геологической информации по предоставленному ему участку недр местного значения.</w:t>
      </w:r>
    </w:p>
    <w:p w14:paraId="A3010000">
      <w:pPr>
        <w:pStyle w:val="Style_3"/>
        <w:numPr>
          <w:ilvl w:val="0"/>
          <w:numId w:val="1"/>
        </w:numPr>
        <w:tabs>
          <w:tab w:leader="none" w:pos="142" w:val="left"/>
          <w:tab w:leader="none" w:pos="851" w:val="left"/>
          <w:tab w:leader="none" w:pos="993" w:val="left"/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>Особые условия пользования участком недр местного значения:</w:t>
      </w:r>
    </w:p>
    <w:p w14:paraId="A4010000">
      <w:pPr>
        <w:pStyle w:val="Style_3"/>
        <w:numPr>
          <w:ilvl w:val="0"/>
          <w:numId w:val="11"/>
        </w:numPr>
        <w:tabs>
          <w:tab w:leader="none" w:pos="0" w:val="left"/>
          <w:tab w:leader="none" w:pos="142" w:val="left"/>
          <w:tab w:leader="none" w:pos="851" w:val="left"/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 xml:space="preserve">право пользования участком недр местного значения прекращается в соответствии с пунктом 2 части 2 статьи 20 Закона «О недрах» в случае невыполнения требований пункта 1 части </w:t>
      </w:r>
      <w:r>
        <w:rPr>
          <w:sz w:val="28"/>
        </w:rPr>
        <w:t>8</w:t>
      </w:r>
      <w:r>
        <w:rPr>
          <w:sz w:val="28"/>
        </w:rPr>
        <w:t>9</w:t>
      </w:r>
      <w:r>
        <w:rPr>
          <w:sz w:val="28"/>
        </w:rPr>
        <w:t xml:space="preserve"> настоящего Порядка и условий проведения аукциона;</w:t>
      </w:r>
    </w:p>
    <w:p w14:paraId="A5010000">
      <w:pPr>
        <w:pStyle w:val="Style_3"/>
        <w:numPr>
          <w:ilvl w:val="0"/>
          <w:numId w:val="11"/>
        </w:numPr>
        <w:tabs>
          <w:tab w:leader="none" w:pos="0" w:val="left"/>
          <w:tab w:leader="none" w:pos="142" w:val="left"/>
          <w:tab w:leader="none" w:pos="851" w:val="left"/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>право пользования недрами может быть досрочно прекращено, приостановлено или ограничено в соответствии со статьями 20, 20.1 и 20.2 Закона «О недрах»</w:t>
      </w:r>
      <w:r>
        <w:rPr>
          <w:sz w:val="28"/>
        </w:rPr>
        <w:t>.</w:t>
      </w:r>
      <w:r>
        <w:rPr>
          <w:sz w:val="28"/>
        </w:rPr>
        <w:t xml:space="preserve"> </w:t>
      </w:r>
    </w:p>
    <w:p w14:paraId="A6010000">
      <w:pPr>
        <w:pStyle w:val="Style_3"/>
        <w:numPr>
          <w:ilvl w:val="0"/>
          <w:numId w:val="1"/>
        </w:numPr>
        <w:tabs>
          <w:tab w:leader="none" w:pos="142" w:val="left"/>
          <w:tab w:leader="none" w:pos="851" w:val="left"/>
          <w:tab w:leader="none" w:pos="993" w:val="left"/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>Промышленная добыча полезных ископаемых на участке недр местного значения разрешается при наличии у владельца лицензии:</w:t>
      </w:r>
    </w:p>
    <w:p w14:paraId="A7010000">
      <w:pPr>
        <w:widowControl w:val="0"/>
        <w:numPr>
          <w:ilvl w:val="0"/>
          <w:numId w:val="12"/>
        </w:numPr>
        <w:tabs>
          <w:tab w:leader="none" w:pos="0" w:val="left"/>
          <w:tab w:leader="none" w:pos="1080" w:val="left"/>
          <w:tab w:leader="none" w:pos="1968" w:val="clear"/>
        </w:tabs>
        <w:ind w:firstLine="720" w:left="0" w:right="-6"/>
        <w:jc w:val="both"/>
        <w:rPr>
          <w:sz w:val="28"/>
        </w:rPr>
      </w:pPr>
      <w:r>
        <w:rPr>
          <w:sz w:val="28"/>
        </w:rPr>
        <w:t xml:space="preserve">утвержденных и согласованных в установленном порядке проектных </w:t>
      </w:r>
      <w:r>
        <w:rPr>
          <w:sz w:val="28"/>
        </w:rPr>
        <w:t>документов на разработку участка недр местного значения, в том числе, планов и схем развития горных работ;</w:t>
      </w:r>
    </w:p>
    <w:p w14:paraId="A8010000">
      <w:pPr>
        <w:widowControl w:val="0"/>
        <w:numPr>
          <w:ilvl w:val="0"/>
          <w:numId w:val="12"/>
        </w:numPr>
        <w:tabs>
          <w:tab w:leader="none" w:pos="0" w:val="left"/>
          <w:tab w:leader="none" w:pos="1080" w:val="left"/>
          <w:tab w:leader="none" w:pos="1968" w:val="clear"/>
        </w:tabs>
        <w:ind w:firstLine="720" w:left="0" w:right="-6"/>
        <w:jc w:val="both"/>
        <w:rPr>
          <w:sz w:val="28"/>
        </w:rPr>
      </w:pPr>
      <w:r>
        <w:rPr>
          <w:sz w:val="28"/>
        </w:rPr>
        <w:t>оформленного горного отвода на участок недр;</w:t>
      </w:r>
    </w:p>
    <w:p w14:paraId="A9010000">
      <w:pPr>
        <w:widowControl w:val="0"/>
        <w:numPr>
          <w:ilvl w:val="0"/>
          <w:numId w:val="12"/>
        </w:numPr>
        <w:tabs>
          <w:tab w:leader="none" w:pos="0" w:val="left"/>
          <w:tab w:leader="none" w:pos="1080" w:val="left"/>
          <w:tab w:leader="none" w:pos="1968" w:val="clear"/>
        </w:tabs>
        <w:ind w:firstLine="720" w:left="0" w:right="-6"/>
        <w:jc w:val="both"/>
        <w:rPr>
          <w:sz w:val="28"/>
        </w:rPr>
      </w:pPr>
      <w:r>
        <w:rPr>
          <w:sz w:val="28"/>
        </w:rPr>
        <w:t>оформленного земельного отвода на необходимый участок работ;</w:t>
      </w:r>
    </w:p>
    <w:p w14:paraId="AA010000">
      <w:pPr>
        <w:widowControl w:val="0"/>
        <w:numPr>
          <w:ilvl w:val="0"/>
          <w:numId w:val="12"/>
        </w:numPr>
        <w:tabs>
          <w:tab w:leader="none" w:pos="0" w:val="left"/>
          <w:tab w:leader="none" w:pos="1080" w:val="left"/>
          <w:tab w:leader="none" w:pos="1968" w:val="clear"/>
        </w:tabs>
        <w:ind w:firstLine="720" w:left="0" w:right="-6"/>
        <w:jc w:val="both"/>
        <w:rPr>
          <w:sz w:val="28"/>
        </w:rPr>
      </w:pPr>
      <w:r>
        <w:rPr>
          <w:sz w:val="28"/>
        </w:rPr>
        <w:t>оформленных необходимых лицензий на отдельные виды деятельности при проведении горных и иных видов работ, связанных с пользованием недрами, либо привлеченных лиц, имеющих такие лицензии.</w:t>
      </w:r>
    </w:p>
    <w:p w14:paraId="AB010000">
      <w:pPr>
        <w:pStyle w:val="Style_3"/>
        <w:numPr>
          <w:ilvl w:val="0"/>
          <w:numId w:val="1"/>
        </w:numPr>
        <w:tabs>
          <w:tab w:leader="none" w:pos="142" w:val="left"/>
          <w:tab w:leader="none" w:pos="851" w:val="left"/>
          <w:tab w:leader="none" w:pos="993" w:val="left"/>
          <w:tab w:leader="none" w:pos="1134" w:val="left"/>
        </w:tabs>
        <w:ind w:firstLine="709" w:left="0"/>
        <w:jc w:val="both"/>
        <w:rPr>
          <w:sz w:val="28"/>
        </w:rPr>
      </w:pPr>
      <w:r>
        <w:rPr>
          <w:sz w:val="28"/>
        </w:rPr>
        <w:t>Лица, виновные в нарушении законодательства Российской Федерации о недрах, несут административную, уголовную ответственность в порядке, установленном законодательством Российской Федерации. Привлечение к ответственности за нарушение законодательства Российской Федерации о недрах не освобождает виновных лиц от обязанности устранить выявленное нарушение и возместить причиненный этими лицами вред.</w:t>
      </w:r>
      <w:bookmarkStart w:id="16" w:name="Par78"/>
      <w:bookmarkEnd w:id="16"/>
      <w:r>
        <w:rPr>
          <w:sz w:val="28"/>
        </w:rPr>
        <w:br w:type="page"/>
      </w:r>
    </w:p>
    <w:p w14:paraId="AC010000">
      <w:pPr>
        <w:widowControl w:val="0"/>
        <w:ind w:firstLine="0" w:left="5669"/>
        <w:rPr>
          <w:sz w:val="28"/>
        </w:rPr>
      </w:pPr>
      <w:r>
        <w:rPr>
          <w:sz w:val="28"/>
        </w:rPr>
        <w:t xml:space="preserve">Приложение </w:t>
      </w:r>
      <w:r>
        <w:rPr>
          <w:sz w:val="28"/>
        </w:rPr>
        <w:t xml:space="preserve">№ 1 </w:t>
      </w:r>
      <w:r>
        <w:rPr>
          <w:sz w:val="28"/>
        </w:rPr>
        <w:t xml:space="preserve">к Порядку и </w:t>
      </w:r>
      <w:r>
        <w:rPr>
          <w:sz w:val="28"/>
        </w:rPr>
        <w:t>условиям проведения аукциона</w:t>
      </w:r>
    </w:p>
    <w:p w14:paraId="AD010000">
      <w:pPr>
        <w:tabs>
          <w:tab w:leader="none" w:pos="993" w:val="left"/>
        </w:tabs>
        <w:spacing w:line="240" w:lineRule="auto"/>
        <w:ind/>
        <w:jc w:val="center"/>
        <w:rPr>
          <w:sz w:val="28"/>
        </w:rPr>
      </w:pPr>
    </w:p>
    <w:p w14:paraId="AE010000">
      <w:pPr>
        <w:ind w:firstLine="0" w:left="13" w:right="13"/>
        <w:jc w:val="center"/>
        <w:outlineLvl w:val="0"/>
        <w:rPr>
          <w:sz w:val="28"/>
        </w:rPr>
      </w:pPr>
      <w:r>
        <w:rPr>
          <w:sz w:val="28"/>
        </w:rPr>
        <w:t>Расчет стартового размера разового платежа</w:t>
      </w:r>
    </w:p>
    <w:p w14:paraId="AF010000">
      <w:pPr>
        <w:ind w:firstLine="0" w:left="13" w:right="13"/>
        <w:jc w:val="center"/>
        <w:outlineLvl w:val="0"/>
        <w:rPr>
          <w:spacing w:val="-5"/>
          <w:sz w:val="28"/>
        </w:rPr>
      </w:pPr>
      <w:r>
        <w:rPr>
          <w:sz w:val="28"/>
        </w:rPr>
        <w:t xml:space="preserve">за пользование </w:t>
      </w:r>
      <w:r>
        <w:rPr>
          <w:spacing w:val="-5"/>
          <w:sz w:val="28"/>
        </w:rPr>
        <w:t>участками недр местного значения «Сопка Лысая-1»</w:t>
      </w:r>
      <w:r>
        <w:br/>
      </w:r>
      <w:r>
        <w:rPr>
          <w:spacing w:val="-5"/>
          <w:sz w:val="28"/>
        </w:rPr>
        <w:t>и «Сопка Лысая-2»</w:t>
      </w:r>
      <w:r>
        <w:rPr>
          <w:spacing w:val="-5"/>
          <w:sz w:val="28"/>
        </w:rPr>
        <w:t xml:space="preserve"> месторождения </w:t>
      </w:r>
      <w:r>
        <w:rPr>
          <w:spacing w:val="-5"/>
          <w:sz w:val="28"/>
        </w:rPr>
        <w:t xml:space="preserve">песка </w:t>
      </w:r>
      <w:r>
        <w:rPr>
          <w:spacing w:val="-5"/>
          <w:sz w:val="28"/>
        </w:rPr>
        <w:t xml:space="preserve">строительного </w:t>
      </w:r>
      <w:r>
        <w:rPr>
          <w:spacing w:val="-5"/>
          <w:sz w:val="28"/>
        </w:rPr>
        <w:t>Сопка Лысая</w:t>
      </w:r>
    </w:p>
    <w:p w14:paraId="B0010000">
      <w:pPr>
        <w:ind w:firstLine="0" w:left="13" w:right="13"/>
        <w:jc w:val="center"/>
        <w:outlineLvl w:val="0"/>
        <w:rPr>
          <w:sz w:val="28"/>
        </w:rPr>
      </w:pPr>
    </w:p>
    <w:p w14:paraId="B101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Настоящий расчёт подготовлен на основании статьи 40 Закона «О недрах», в соответствии с Методикой </w:t>
      </w:r>
      <w:r>
        <w:rPr>
          <w:sz w:val="28"/>
        </w:rPr>
        <w:t>расчета минимального (стартового) размера разового платежа за пользование недрами</w:t>
      </w:r>
      <w:r>
        <w:rPr>
          <w:sz w:val="28"/>
        </w:rPr>
        <w:t xml:space="preserve">, утвержденной совместным приказом </w:t>
      </w:r>
      <w:r>
        <w:rPr>
          <w:sz w:val="28"/>
        </w:rPr>
        <w:t>Минприроды России № 242</w:t>
      </w:r>
      <w:r>
        <w:rPr>
          <w:sz w:val="28"/>
        </w:rPr>
        <w:t>,</w:t>
      </w:r>
      <w:r>
        <w:rPr>
          <w:sz w:val="28"/>
        </w:rPr>
        <w:t xml:space="preserve"> Роснедр № 01 от 31.03.2022 </w:t>
      </w:r>
      <w:r>
        <w:rPr>
          <w:sz w:val="28"/>
        </w:rPr>
        <w:t>(далее – Методика).</w:t>
      </w:r>
    </w:p>
    <w:p w14:paraId="B2010000">
      <w:pPr>
        <w:ind w:firstLine="709" w:left="0"/>
        <w:jc w:val="both"/>
        <w:rPr>
          <w:sz w:val="28"/>
        </w:rPr>
      </w:pPr>
      <w:r>
        <w:rPr>
          <w:sz w:val="28"/>
        </w:rPr>
        <w:t>Стартовый размер разового платежа за пользование недрами рассчитывается по формуле:</w:t>
      </w:r>
    </w:p>
    <w:p w14:paraId="B301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РП = РП </w:t>
      </w:r>
      <w:r>
        <w:rPr>
          <w:sz w:val="28"/>
          <w:vertAlign w:val="subscript"/>
        </w:rPr>
        <w:t>мин</w:t>
      </w:r>
      <w:r>
        <w:rPr>
          <w:sz w:val="28"/>
        </w:rPr>
        <w:t xml:space="preserve"> × </w:t>
      </w:r>
      <w:r>
        <w:rPr>
          <w:sz w:val="28"/>
        </w:rPr>
        <w:t>К</w:t>
      </w:r>
      <w:r>
        <w:rPr>
          <w:sz w:val="28"/>
          <w:vertAlign w:val="subscript"/>
        </w:rPr>
        <w:t>инт</w:t>
      </w:r>
      <w:r>
        <w:rPr>
          <w:sz w:val="28"/>
          <w:vertAlign w:val="subscript"/>
        </w:rPr>
        <w:t xml:space="preserve">,  </w:t>
      </w:r>
      <w:r>
        <w:rPr>
          <w:sz w:val="28"/>
        </w:rPr>
        <w:t>где</w:t>
      </w:r>
      <w:r>
        <w:rPr>
          <w:sz w:val="28"/>
        </w:rPr>
        <w:t>:</w:t>
      </w:r>
    </w:p>
    <w:p w14:paraId="B4010000">
      <w:pPr>
        <w:ind w:firstLine="709" w:left="0"/>
        <w:jc w:val="both"/>
        <w:rPr>
          <w:sz w:val="28"/>
        </w:rPr>
      </w:pPr>
      <w:r>
        <w:rPr>
          <w:sz w:val="28"/>
        </w:rPr>
        <w:t>РП</w:t>
      </w:r>
      <w:r>
        <w:rPr>
          <w:sz w:val="28"/>
          <w:vertAlign w:val="subscript"/>
        </w:rPr>
        <w:t>мин</w:t>
      </w:r>
      <w:r>
        <w:rPr>
          <w:sz w:val="28"/>
        </w:rPr>
        <w:t xml:space="preserve"> – минимальный размер разового платежа за пользование недрами, руб.;</w:t>
      </w:r>
    </w:p>
    <w:p w14:paraId="B5010000">
      <w:pPr>
        <w:ind w:firstLine="709" w:left="0"/>
        <w:jc w:val="both"/>
        <w:rPr>
          <w:sz w:val="28"/>
        </w:rPr>
      </w:pPr>
      <w:r>
        <w:rPr>
          <w:sz w:val="28"/>
        </w:rPr>
        <w:t>К</w:t>
      </w:r>
      <w:r>
        <w:rPr>
          <w:sz w:val="28"/>
          <w:vertAlign w:val="subscript"/>
        </w:rPr>
        <w:t>инт</w:t>
      </w:r>
      <w:r>
        <w:rPr>
          <w:sz w:val="28"/>
          <w:vertAlign w:val="subscript"/>
        </w:rPr>
        <w:t xml:space="preserve"> </w:t>
      </w:r>
      <w:r>
        <w:rPr>
          <w:sz w:val="28"/>
        </w:rPr>
        <w:t>– интегральный поправочный коэффициент, характеризующий участок недр местного значения.</w:t>
      </w:r>
    </w:p>
    <w:p w14:paraId="B601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РП </w:t>
      </w:r>
      <w:r>
        <w:rPr>
          <w:sz w:val="28"/>
          <w:vertAlign w:val="subscript"/>
        </w:rPr>
        <w:t>мин</w:t>
      </w:r>
      <w:r>
        <w:rPr>
          <w:sz w:val="28"/>
        </w:rPr>
        <w:t xml:space="preserve"> = </w:t>
      </w:r>
      <w:r>
        <w:rPr>
          <w:sz w:val="28"/>
        </w:rPr>
        <w:t>НДПИ</w:t>
      </w:r>
      <w:r>
        <w:rPr>
          <w:sz w:val="28"/>
          <w:vertAlign w:val="subscript"/>
        </w:rPr>
        <w:t>год</w:t>
      </w:r>
      <w:r>
        <w:rPr>
          <w:sz w:val="28"/>
        </w:rPr>
        <w:t xml:space="preserve"> × П, где: </w:t>
      </w:r>
    </w:p>
    <w:p w14:paraId="B7010000">
      <w:pPr>
        <w:ind w:firstLine="709" w:left="0"/>
        <w:jc w:val="both"/>
        <w:rPr>
          <w:sz w:val="28"/>
        </w:rPr>
      </w:pPr>
      <w:r>
        <w:rPr>
          <w:sz w:val="28"/>
        </w:rPr>
        <w:t>НДПИ</w:t>
      </w:r>
      <w:r>
        <w:rPr>
          <w:sz w:val="28"/>
          <w:vertAlign w:val="subscript"/>
        </w:rPr>
        <w:t>год</w:t>
      </w:r>
      <w:r>
        <w:rPr>
          <w:sz w:val="28"/>
        </w:rPr>
        <w:t xml:space="preserve"> – р</w:t>
      </w:r>
      <w:r>
        <w:rPr>
          <w:sz w:val="28"/>
        </w:rPr>
        <w:t>а</w:t>
      </w:r>
      <w:r>
        <w:rPr>
          <w:sz w:val="28"/>
        </w:rPr>
        <w:t>счетная величина суммы налога на добычу полезных ископаемых в расчете на среднегодовую мощность добывающей организации;</w:t>
      </w:r>
    </w:p>
    <w:p w14:paraId="B8010000">
      <w:pPr>
        <w:ind w:firstLine="708" w:left="0"/>
        <w:jc w:val="both"/>
        <w:rPr>
          <w:sz w:val="28"/>
        </w:rPr>
      </w:pPr>
      <w:r>
        <w:rPr>
          <w:sz w:val="28"/>
        </w:rPr>
        <w:t xml:space="preserve">П – </w:t>
      </w:r>
      <w:r>
        <w:rPr>
          <w:sz w:val="28"/>
        </w:rPr>
        <w:t>коэффициент, характеризующий процент расчетной величины суммы налога в расчете на среднегодовую мощность добывающей организации (</w:t>
      </w:r>
      <w:r>
        <w:rPr>
          <w:sz w:val="28"/>
        </w:rPr>
        <w:t>П=</w:t>
      </w:r>
      <w:r>
        <w:rPr>
          <w:sz w:val="28"/>
        </w:rPr>
        <w:t>0,1)</w:t>
      </w:r>
      <w:r>
        <w:rPr>
          <w:sz w:val="28"/>
        </w:rPr>
        <w:t>.</w:t>
      </w:r>
    </w:p>
    <w:p w14:paraId="B9010000">
      <w:pPr>
        <w:ind w:firstLine="709" w:left="0"/>
        <w:jc w:val="both"/>
        <w:rPr>
          <w:sz w:val="28"/>
          <w:vertAlign w:val="subscript"/>
        </w:rPr>
      </w:pPr>
      <w:r>
        <w:rPr>
          <w:sz w:val="28"/>
        </w:rPr>
        <w:t>НДПИ</w:t>
      </w:r>
      <w:r>
        <w:rPr>
          <w:sz w:val="28"/>
          <w:vertAlign w:val="subscript"/>
        </w:rPr>
        <w:t>год</w:t>
      </w:r>
      <w:r>
        <w:rPr>
          <w:sz w:val="28"/>
        </w:rPr>
        <w:t xml:space="preserve"> = </w:t>
      </w:r>
      <w:r>
        <w:rPr>
          <w:sz w:val="28"/>
        </w:rPr>
        <w:t>Ц</w:t>
      </w:r>
      <w:r>
        <w:rPr>
          <w:sz w:val="28"/>
          <w:vertAlign w:val="subscript"/>
        </w:rPr>
        <w:t>пи</w:t>
      </w:r>
      <w:r>
        <w:rPr>
          <w:sz w:val="28"/>
        </w:rPr>
        <w:t xml:space="preserve"> × </w:t>
      </w:r>
      <w:r>
        <w:rPr>
          <w:sz w:val="28"/>
        </w:rPr>
        <w:t>V</w:t>
      </w:r>
      <w:r>
        <w:rPr>
          <w:sz w:val="28"/>
          <w:vertAlign w:val="subscript"/>
        </w:rPr>
        <w:t>ср</w:t>
      </w:r>
      <w:r>
        <w:rPr>
          <w:sz w:val="28"/>
        </w:rPr>
        <w:t xml:space="preserve"> × </w:t>
      </w:r>
      <w:r>
        <w:rPr>
          <w:sz w:val="28"/>
        </w:rPr>
        <w:t>С</w:t>
      </w:r>
      <w:r>
        <w:rPr>
          <w:sz w:val="28"/>
          <w:vertAlign w:val="subscript"/>
        </w:rPr>
        <w:t>ндпи</w:t>
      </w:r>
      <w:r>
        <w:rPr>
          <w:sz w:val="28"/>
          <w:vertAlign w:val="subscript"/>
        </w:rPr>
        <w:t>СТ</w:t>
      </w:r>
      <w:r>
        <w:rPr>
          <w:sz w:val="28"/>
          <w:vertAlign w:val="subscript"/>
        </w:rPr>
        <w:t>,</w:t>
      </w:r>
      <w:r>
        <w:rPr>
          <w:sz w:val="28"/>
        </w:rPr>
        <w:t xml:space="preserve"> </w:t>
      </w:r>
      <w:r>
        <w:rPr>
          <w:sz w:val="28"/>
        </w:rPr>
        <w:t>где:</w:t>
      </w:r>
    </w:p>
    <w:p w14:paraId="BA010000">
      <w:pPr>
        <w:ind w:firstLine="709" w:left="0"/>
        <w:jc w:val="both"/>
        <w:rPr>
          <w:sz w:val="28"/>
        </w:rPr>
      </w:pPr>
      <w:r>
        <w:rPr>
          <w:sz w:val="28"/>
        </w:rPr>
        <w:t>Ц</w:t>
      </w:r>
      <w:r>
        <w:rPr>
          <w:sz w:val="28"/>
          <w:vertAlign w:val="subscript"/>
        </w:rPr>
        <w:t>пи</w:t>
      </w:r>
      <w:r>
        <w:rPr>
          <w:sz w:val="28"/>
        </w:rPr>
        <w:t xml:space="preserve"> = стоимость единицы добытого полезного ископаемого (песок </w:t>
      </w:r>
      <w:r>
        <w:rPr>
          <w:sz w:val="28"/>
        </w:rPr>
        <w:t>строительный</w:t>
      </w:r>
      <w:r>
        <w:rPr>
          <w:sz w:val="28"/>
        </w:rPr>
        <w:t xml:space="preserve">), </w:t>
      </w:r>
      <w:r>
        <w:rPr>
          <w:sz w:val="28"/>
        </w:rPr>
        <w:t>принимается равной средней рыночной цене его реализации</w:t>
      </w:r>
      <w:r>
        <w:rPr>
          <w:sz w:val="28"/>
        </w:rPr>
        <w:t xml:space="preserve"> в регионе за период с 1 января по 31 июня 2023 года: (1250,4+1282,0+621,0)/3 = </w:t>
      </w:r>
      <w:r>
        <w:rPr>
          <w:b w:val="1"/>
          <w:sz w:val="28"/>
        </w:rPr>
        <w:t>10</w:t>
      </w:r>
      <w:r>
        <w:rPr>
          <w:b w:val="1"/>
          <w:sz w:val="28"/>
        </w:rPr>
        <w:t>51,1</w:t>
      </w:r>
      <w:r>
        <w:rPr>
          <w:b w:val="1"/>
          <w:sz w:val="28"/>
        </w:rPr>
        <w:t>3 </w:t>
      </w:r>
      <w:r>
        <w:rPr>
          <w:b w:val="1"/>
          <w:sz w:val="28"/>
        </w:rPr>
        <w:t>руб./м</w:t>
      </w:r>
      <w:r>
        <w:rPr>
          <w:b w:val="1"/>
          <w:sz w:val="28"/>
          <w:vertAlign w:val="superscript"/>
        </w:rPr>
        <w:t>3</w:t>
      </w:r>
      <w:r>
        <w:rPr>
          <w:sz w:val="28"/>
        </w:rPr>
        <w:t>;</w:t>
      </w:r>
    </w:p>
    <w:p w14:paraId="BB010000">
      <w:pPr>
        <w:ind w:firstLine="709" w:left="0"/>
        <w:jc w:val="both"/>
        <w:rPr>
          <w:rFonts w:ascii="Times New Roman" w:hAnsi="Times New Roman"/>
          <w:b w:val="0"/>
          <w:sz w:val="24"/>
        </w:rPr>
      </w:pPr>
      <w:r>
        <w:rPr>
          <w:sz w:val="28"/>
        </w:rPr>
        <w:t>V</w:t>
      </w:r>
      <w:r>
        <w:rPr>
          <w:sz w:val="28"/>
          <w:vertAlign w:val="subscript"/>
        </w:rPr>
        <w:t>ср</w:t>
      </w:r>
      <w:r>
        <w:rPr>
          <w:sz w:val="28"/>
        </w:rPr>
        <w:t xml:space="preserve"> – </w:t>
      </w:r>
      <w:r>
        <w:rPr>
          <w:sz w:val="28"/>
        </w:rPr>
        <w:t xml:space="preserve">среднегодовая мощность </w:t>
      </w:r>
      <w:r>
        <w:rPr>
          <w:rFonts w:ascii="Times New Roman" w:hAnsi="Times New Roman"/>
          <w:b w:val="0"/>
          <w:sz w:val="24"/>
        </w:rPr>
        <w:t xml:space="preserve">добывающей организации (среднегодовая добыча полезного ископаемого </w:t>
      </w:r>
      <w:r>
        <w:rPr>
          <w:sz w:val="28"/>
        </w:rPr>
        <w:t>(песка строительного)</w:t>
      </w:r>
      <w:r>
        <w:rPr>
          <w:sz w:val="28"/>
        </w:rPr>
        <w:t>, принимается равной среднегодовой добыче песка строительного в Петропавловск-Елизо</w:t>
      </w:r>
      <w:r>
        <w:rPr>
          <w:sz w:val="28"/>
        </w:rPr>
        <w:t xml:space="preserve">вской агломерации Камчатского края на 1 производителя – </w:t>
      </w:r>
      <w:r>
        <w:rPr>
          <w:b w:val="1"/>
          <w:sz w:val="28"/>
        </w:rPr>
        <w:t>41,322</w:t>
      </w:r>
      <w:r>
        <w:rPr>
          <w:sz w:val="28"/>
        </w:rPr>
        <w:t xml:space="preserve"> тыс. м</w:t>
      </w:r>
      <w:r>
        <w:rPr>
          <w:sz w:val="28"/>
          <w:vertAlign w:val="superscript"/>
        </w:rPr>
        <w:t>3</w:t>
      </w:r>
      <w:r>
        <w:rPr>
          <w:sz w:val="28"/>
        </w:rPr>
        <w:t>;</w:t>
      </w:r>
    </w:p>
    <w:p w14:paraId="BC010000">
      <w:pPr>
        <w:ind w:firstLine="709" w:left="0"/>
        <w:jc w:val="both"/>
        <w:rPr>
          <w:sz w:val="28"/>
        </w:rPr>
      </w:pPr>
      <w:r>
        <w:rPr>
          <w:sz w:val="28"/>
        </w:rPr>
        <w:t>С</w:t>
      </w:r>
      <w:r>
        <w:rPr>
          <w:sz w:val="28"/>
          <w:vertAlign w:val="subscript"/>
        </w:rPr>
        <w:t>ндпи</w:t>
      </w:r>
      <w:r>
        <w:rPr>
          <w:sz w:val="28"/>
          <w:vertAlign w:val="subscript"/>
        </w:rPr>
        <w:t>СТ</w:t>
      </w:r>
      <w:r>
        <w:rPr>
          <w:sz w:val="28"/>
        </w:rPr>
        <w:t xml:space="preserve"> – </w:t>
      </w:r>
      <w:r>
        <w:rPr>
          <w:sz w:val="28"/>
        </w:rPr>
        <w:t>величина</w:t>
      </w:r>
      <w:r>
        <w:rPr>
          <w:sz w:val="28"/>
        </w:rPr>
        <w:t xml:space="preserve"> налога на добычу полезн</w:t>
      </w:r>
      <w:r>
        <w:rPr>
          <w:sz w:val="28"/>
        </w:rPr>
        <w:t>ого</w:t>
      </w:r>
      <w:r>
        <w:rPr>
          <w:sz w:val="28"/>
        </w:rPr>
        <w:t xml:space="preserve"> ископаем</w:t>
      </w:r>
      <w:r>
        <w:rPr>
          <w:sz w:val="28"/>
        </w:rPr>
        <w:t>ого, определяемая как произведение налоговой ставки, установленной подпунктом 4 пункта 2 статьи 342 Налогового кодекса Российской Федерации (далее – НК РФ) и предусмотренного статьей 342.8 НК РФ рентного коэффициента (</w:t>
      </w:r>
      <w:r>
        <w:rPr>
          <w:sz w:val="28"/>
        </w:rPr>
        <w:t>К</w:t>
      </w:r>
      <w:r>
        <w:rPr>
          <w:sz w:val="28"/>
          <w:vertAlign w:val="subscript"/>
        </w:rPr>
        <w:t>рента</w:t>
      </w:r>
      <w:r>
        <w:rPr>
          <w:sz w:val="28"/>
        </w:rPr>
        <w:t>), без учета условий применения налоговой ставки 0 процентов, установленных пунктом 1 статьи 342 НК РФ</w:t>
      </w:r>
      <w:r>
        <w:rPr>
          <w:sz w:val="28"/>
        </w:rPr>
        <w:t xml:space="preserve">: при добыче неметаллического сырья, используемого в основном в строительной индустрии, </w:t>
      </w:r>
      <w:r>
        <w:rPr>
          <w:sz w:val="28"/>
        </w:rPr>
        <w:t>налоговая ставка составляет</w:t>
      </w:r>
      <w:r>
        <w:rPr>
          <w:sz w:val="28"/>
        </w:rPr>
        <w:t xml:space="preserve"> 5,5%</w:t>
      </w:r>
      <w:r>
        <w:rPr>
          <w:sz w:val="28"/>
        </w:rPr>
        <w:t>,</w:t>
      </w:r>
      <w:r>
        <w:rPr>
          <w:sz w:val="28"/>
        </w:rPr>
        <w:t xml:space="preserve"> </w:t>
      </w:r>
      <w:r>
        <w:rPr>
          <w:sz w:val="28"/>
        </w:rPr>
        <w:t>К</w:t>
      </w:r>
      <w:r>
        <w:rPr>
          <w:sz w:val="28"/>
          <w:vertAlign w:val="subscript"/>
        </w:rPr>
        <w:t>рента</w:t>
      </w:r>
      <w:r>
        <w:rPr>
          <w:sz w:val="28"/>
          <w:vertAlign w:val="subscript"/>
        </w:rPr>
        <w:t xml:space="preserve"> </w:t>
      </w:r>
      <w:r>
        <w:rPr>
          <w:sz w:val="28"/>
        </w:rPr>
        <w:t>= 1</w:t>
      </w:r>
      <w:r>
        <w:rPr>
          <w:sz w:val="28"/>
        </w:rPr>
        <w:t>.</w:t>
      </w:r>
    </w:p>
    <w:p w14:paraId="BD010000">
      <w:pPr>
        <w:ind w:firstLine="709" w:left="0"/>
        <w:jc w:val="both"/>
        <w:rPr>
          <w:sz w:val="28"/>
        </w:rPr>
      </w:pPr>
      <w:r>
        <w:rPr>
          <w:sz w:val="28"/>
        </w:rPr>
        <w:t>РП</w:t>
      </w:r>
      <w:r>
        <w:rPr>
          <w:sz w:val="28"/>
          <w:vertAlign w:val="subscript"/>
        </w:rPr>
        <w:t>мин</w:t>
      </w:r>
      <w:r>
        <w:rPr>
          <w:sz w:val="28"/>
        </w:rPr>
        <w:t xml:space="preserve"> = (</w:t>
      </w:r>
      <w:r>
        <w:rPr>
          <w:sz w:val="28"/>
        </w:rPr>
        <w:t>Ц</w:t>
      </w:r>
      <w:r>
        <w:rPr>
          <w:sz w:val="28"/>
          <w:vertAlign w:val="subscript"/>
        </w:rPr>
        <w:t>пи</w:t>
      </w:r>
      <w:r>
        <w:rPr>
          <w:sz w:val="28"/>
        </w:rPr>
        <w:t>×</w:t>
      </w:r>
      <w:r>
        <w:rPr>
          <w:sz w:val="28"/>
        </w:rPr>
        <w:t>V</w:t>
      </w:r>
      <w:r>
        <w:rPr>
          <w:sz w:val="28"/>
          <w:vertAlign w:val="subscript"/>
        </w:rPr>
        <w:t>ср</w:t>
      </w:r>
      <w:r>
        <w:rPr>
          <w:sz w:val="28"/>
        </w:rPr>
        <w:t>×</w:t>
      </w:r>
      <w:r>
        <w:rPr>
          <w:sz w:val="28"/>
        </w:rPr>
        <w:t>С</w:t>
      </w:r>
      <w:r>
        <w:rPr>
          <w:sz w:val="28"/>
          <w:vertAlign w:val="subscript"/>
        </w:rPr>
        <w:t>ндпиСТ</w:t>
      </w:r>
      <w:r>
        <w:rPr>
          <w:sz w:val="28"/>
        </w:rPr>
        <w:t>)×</w:t>
      </w:r>
      <w:r>
        <w:rPr>
          <w:sz w:val="28"/>
        </w:rPr>
        <w:t xml:space="preserve">0,1 = (1051,13 × 41322 × 0,055) × 0,1 = </w:t>
      </w:r>
      <w:r>
        <w:br/>
      </w:r>
      <w:r>
        <w:rPr>
          <w:b w:val="1"/>
          <w:sz w:val="28"/>
        </w:rPr>
        <w:t>238891,37 руб</w:t>
      </w:r>
      <w:r>
        <w:rPr>
          <w:sz w:val="28"/>
        </w:rPr>
        <w:t>.</w:t>
      </w:r>
    </w:p>
    <w:p w14:paraId="BE010000">
      <w:pPr>
        <w:ind w:firstLine="709" w:left="0"/>
        <w:jc w:val="both"/>
        <w:rPr>
          <w:sz w:val="28"/>
        </w:rPr>
      </w:pPr>
      <w:r>
        <w:rPr>
          <w:sz w:val="28"/>
        </w:rPr>
        <w:t>К</w:t>
      </w:r>
      <w:r>
        <w:rPr>
          <w:sz w:val="28"/>
          <w:vertAlign w:val="subscript"/>
        </w:rPr>
        <w:t>инт</w:t>
      </w:r>
      <w:r>
        <w:rPr>
          <w:sz w:val="28"/>
          <w:vertAlign w:val="subscript"/>
        </w:rPr>
        <w:t xml:space="preserve"> </w:t>
      </w:r>
      <w:r>
        <w:rPr>
          <w:sz w:val="28"/>
        </w:rPr>
        <w:t xml:space="preserve">= </w:t>
      </w:r>
      <w:r>
        <w:rPr>
          <w:sz w:val="28"/>
        </w:rPr>
        <w:t>К</w:t>
      </w:r>
      <w:r>
        <w:rPr>
          <w:sz w:val="28"/>
          <w:vertAlign w:val="subscript"/>
        </w:rPr>
        <w:t>изуч</w:t>
      </w:r>
      <w:r>
        <w:rPr>
          <w:sz w:val="28"/>
        </w:rPr>
        <w:t xml:space="preserve"> × </w:t>
      </w:r>
      <w:r>
        <w:rPr>
          <w:sz w:val="28"/>
        </w:rPr>
        <w:t>К</w:t>
      </w:r>
      <w:r>
        <w:rPr>
          <w:sz w:val="28"/>
          <w:vertAlign w:val="subscript"/>
        </w:rPr>
        <w:t>инфр</w:t>
      </w:r>
      <w:r>
        <w:rPr>
          <w:sz w:val="28"/>
        </w:rPr>
        <w:t>, где</w:t>
      </w:r>
      <w:r>
        <w:rPr>
          <w:sz w:val="28"/>
        </w:rPr>
        <w:t>:</w:t>
      </w:r>
    </w:p>
    <w:p w14:paraId="BF010000">
      <w:pPr>
        <w:ind w:firstLine="709" w:left="0"/>
        <w:jc w:val="both"/>
        <w:rPr>
          <w:sz w:val="28"/>
        </w:rPr>
      </w:pPr>
      <w:r>
        <w:rPr>
          <w:sz w:val="28"/>
        </w:rPr>
        <w:t>К</w:t>
      </w:r>
      <w:r>
        <w:rPr>
          <w:sz w:val="28"/>
          <w:vertAlign w:val="subscript"/>
        </w:rPr>
        <w:t>изуч</w:t>
      </w:r>
      <w:r>
        <w:rPr>
          <w:sz w:val="28"/>
        </w:rPr>
        <w:t xml:space="preserve"> – поправочный коэффициент, выражающий степень геологической изученности</w:t>
      </w:r>
      <w:r>
        <w:rPr>
          <w:sz w:val="28"/>
        </w:rPr>
        <w:t xml:space="preserve"> участка недр, рассчитывается согласно приложению № 1 к Методике по формуле:</w:t>
      </w:r>
    </w:p>
    <w:p w14:paraId="C0010000">
      <w:pPr>
        <w:ind w:firstLine="709" w:left="0"/>
        <w:jc w:val="both"/>
        <w:rPr>
          <w:sz w:val="28"/>
        </w:rPr>
      </w:pPr>
      <w:r>
        <w:rPr>
          <w:sz w:val="28"/>
        </w:rPr>
        <w:t>К</w:t>
      </w:r>
      <w:r>
        <w:rPr>
          <w:sz w:val="28"/>
          <w:vertAlign w:val="subscript"/>
        </w:rPr>
        <w:t>изуч</w:t>
      </w:r>
      <w:r>
        <w:rPr>
          <w:sz w:val="28"/>
        </w:rPr>
        <w:t xml:space="preserve"> = К</w:t>
      </w:r>
      <w:r>
        <w:rPr>
          <w:sz w:val="28"/>
          <w:vertAlign w:val="subscript"/>
        </w:rPr>
        <w:t>i</w:t>
      </w:r>
      <w:r>
        <w:rPr>
          <w:sz w:val="28"/>
          <w:vertAlign w:val="subscript"/>
        </w:rPr>
        <w:t>АВС1</w:t>
      </w:r>
      <w:r>
        <w:rPr>
          <w:sz w:val="28"/>
        </w:rPr>
        <w:t xml:space="preserve"> × РБ</w:t>
      </w:r>
      <w:r>
        <w:rPr>
          <w:sz w:val="28"/>
          <w:vertAlign w:val="subscript"/>
        </w:rPr>
        <w:t xml:space="preserve"> АВС1</w:t>
      </w:r>
      <w:r>
        <w:rPr>
          <w:sz w:val="28"/>
        </w:rPr>
        <w:t>/</w:t>
      </w:r>
      <w:r>
        <w:rPr>
          <w:sz w:val="28"/>
        </w:rPr>
        <w:t>РБ</w:t>
      </w:r>
      <w:r>
        <w:rPr>
          <w:sz w:val="28"/>
          <w:vertAlign w:val="subscript"/>
        </w:rPr>
        <w:t>сумм</w:t>
      </w:r>
      <w:r>
        <w:rPr>
          <w:sz w:val="28"/>
        </w:rPr>
        <w:t xml:space="preserve"> + К</w:t>
      </w:r>
      <w:r>
        <w:rPr>
          <w:sz w:val="28"/>
        </w:rPr>
        <w:t>i</w:t>
      </w:r>
      <w:r>
        <w:rPr>
          <w:sz w:val="28"/>
          <w:vertAlign w:val="subscript"/>
        </w:rPr>
        <w:t>С2</w:t>
      </w:r>
      <w:r>
        <w:rPr>
          <w:sz w:val="28"/>
        </w:rPr>
        <w:t xml:space="preserve"> × РБ</w:t>
      </w:r>
      <w:r>
        <w:rPr>
          <w:sz w:val="28"/>
          <w:vertAlign w:val="subscript"/>
        </w:rPr>
        <w:t xml:space="preserve"> С2</w:t>
      </w:r>
      <w:r>
        <w:rPr>
          <w:sz w:val="28"/>
        </w:rPr>
        <w:t>/</w:t>
      </w:r>
      <w:r>
        <w:rPr>
          <w:sz w:val="28"/>
        </w:rPr>
        <w:t>РБ</w:t>
      </w:r>
      <w:r>
        <w:rPr>
          <w:sz w:val="28"/>
          <w:vertAlign w:val="subscript"/>
        </w:rPr>
        <w:t>сумм</w:t>
      </w:r>
      <w:r>
        <w:rPr>
          <w:sz w:val="28"/>
        </w:rPr>
        <w:t xml:space="preserve"> + К</w:t>
      </w:r>
      <w:r>
        <w:rPr>
          <w:sz w:val="28"/>
          <w:vertAlign w:val="subscript"/>
        </w:rPr>
        <w:t>i</w:t>
      </w:r>
      <w:r>
        <w:rPr>
          <w:sz w:val="28"/>
          <w:vertAlign w:val="subscript"/>
        </w:rPr>
        <w:t>Р1</w:t>
      </w:r>
      <w:r>
        <w:rPr>
          <w:sz w:val="28"/>
        </w:rPr>
        <w:t xml:space="preserve"> × РБ</w:t>
      </w:r>
      <w:r>
        <w:rPr>
          <w:sz w:val="28"/>
          <w:vertAlign w:val="subscript"/>
        </w:rPr>
        <w:t>Р1</w:t>
      </w:r>
      <w:r>
        <w:rPr>
          <w:sz w:val="28"/>
        </w:rPr>
        <w:t>/</w:t>
      </w:r>
      <w:r>
        <w:rPr>
          <w:sz w:val="28"/>
        </w:rPr>
        <w:t>РБ</w:t>
      </w:r>
      <w:r>
        <w:rPr>
          <w:sz w:val="28"/>
          <w:vertAlign w:val="subscript"/>
        </w:rPr>
        <w:t>сумм</w:t>
      </w:r>
      <w:r>
        <w:rPr>
          <w:sz w:val="28"/>
        </w:rPr>
        <w:t xml:space="preserve"> + К</w:t>
      </w:r>
      <w:r>
        <w:rPr>
          <w:sz w:val="28"/>
          <w:vertAlign w:val="subscript"/>
        </w:rPr>
        <w:t>i</w:t>
      </w:r>
      <w:r>
        <w:rPr>
          <w:sz w:val="28"/>
          <w:vertAlign w:val="subscript"/>
        </w:rPr>
        <w:t>Р2</w:t>
      </w:r>
      <w:r>
        <w:rPr>
          <w:sz w:val="28"/>
        </w:rPr>
        <w:t xml:space="preserve"> × РБ</w:t>
      </w:r>
      <w:r>
        <w:rPr>
          <w:sz w:val="28"/>
          <w:vertAlign w:val="subscript"/>
        </w:rPr>
        <w:t>Р2</w:t>
      </w:r>
      <w:r>
        <w:rPr>
          <w:sz w:val="28"/>
        </w:rPr>
        <w:t>/</w:t>
      </w:r>
      <w:r>
        <w:rPr>
          <w:sz w:val="28"/>
        </w:rPr>
        <w:t>РБ</w:t>
      </w:r>
      <w:r>
        <w:rPr>
          <w:sz w:val="28"/>
          <w:vertAlign w:val="subscript"/>
        </w:rPr>
        <w:t>сумм</w:t>
      </w:r>
      <w:r>
        <w:rPr>
          <w:sz w:val="28"/>
        </w:rPr>
        <w:t xml:space="preserve"> + К</w:t>
      </w:r>
      <w:r>
        <w:rPr>
          <w:sz w:val="28"/>
          <w:vertAlign w:val="subscript"/>
        </w:rPr>
        <w:t>i</w:t>
      </w:r>
      <w:r>
        <w:rPr>
          <w:sz w:val="28"/>
          <w:vertAlign w:val="subscript"/>
        </w:rPr>
        <w:t>Р3</w:t>
      </w:r>
      <w:r>
        <w:rPr>
          <w:sz w:val="28"/>
        </w:rPr>
        <w:t xml:space="preserve"> × РБ</w:t>
      </w:r>
      <w:r>
        <w:rPr>
          <w:sz w:val="28"/>
          <w:vertAlign w:val="subscript"/>
        </w:rPr>
        <w:t>Р3</w:t>
      </w:r>
      <w:r>
        <w:rPr>
          <w:sz w:val="28"/>
        </w:rPr>
        <w:t>/</w:t>
      </w:r>
      <w:r>
        <w:rPr>
          <w:sz w:val="28"/>
        </w:rPr>
        <w:t>РБ</w:t>
      </w:r>
      <w:r>
        <w:rPr>
          <w:sz w:val="28"/>
          <w:vertAlign w:val="subscript"/>
        </w:rPr>
        <w:t>сумм</w:t>
      </w:r>
      <w:r>
        <w:rPr>
          <w:sz w:val="28"/>
        </w:rPr>
        <w:t xml:space="preserve">, </w:t>
      </w:r>
      <w:r>
        <w:rPr>
          <w:sz w:val="28"/>
        </w:rPr>
        <w:t>где:</w:t>
      </w:r>
    </w:p>
    <w:p w14:paraId="C1010000">
      <w:pPr>
        <w:ind w:firstLine="709" w:left="0"/>
        <w:jc w:val="both"/>
        <w:rPr>
          <w:sz w:val="28"/>
        </w:rPr>
      </w:pPr>
      <w:r>
        <w:rPr>
          <w:sz w:val="28"/>
        </w:rPr>
        <w:t>К</w:t>
      </w:r>
      <w:r>
        <w:rPr>
          <w:sz w:val="28"/>
          <w:vertAlign w:val="subscript"/>
        </w:rPr>
        <w:t>i</w:t>
      </w:r>
      <w:r>
        <w:rPr>
          <w:sz w:val="28"/>
        </w:rPr>
        <w:t xml:space="preserve"> – коэффициент для соответствующей категории запасов</w:t>
      </w:r>
      <w:r>
        <w:rPr>
          <w:sz w:val="28"/>
        </w:rPr>
        <w:t>, ресурсов</w:t>
      </w:r>
      <w:r>
        <w:rPr>
          <w:sz w:val="28"/>
        </w:rPr>
        <w:t xml:space="preserve"> и прогнозных ресурсов территории, на которой расположен участок недр;</w:t>
      </w:r>
    </w:p>
    <w:p w14:paraId="C2010000">
      <w:pPr>
        <w:ind w:firstLine="709" w:left="0"/>
        <w:jc w:val="both"/>
        <w:rPr>
          <w:sz w:val="28"/>
        </w:rPr>
      </w:pPr>
      <w:r>
        <w:rPr>
          <w:sz w:val="28"/>
        </w:rPr>
        <w:t>РБ</w:t>
      </w:r>
      <w:r>
        <w:rPr>
          <w:sz w:val="28"/>
          <w:vertAlign w:val="subscript"/>
        </w:rPr>
        <w:t>х</w:t>
      </w:r>
      <w:r>
        <w:rPr>
          <w:sz w:val="28"/>
        </w:rPr>
        <w:t xml:space="preserve"> – ресурсная база соответствующей х-ой территории запасов</w:t>
      </w:r>
      <w:r>
        <w:rPr>
          <w:sz w:val="28"/>
        </w:rPr>
        <w:t>,</w:t>
      </w:r>
      <w:r>
        <w:rPr>
          <w:sz w:val="28"/>
        </w:rPr>
        <w:t xml:space="preserve"> ресурсов</w:t>
      </w:r>
      <w:r>
        <w:rPr>
          <w:sz w:val="28"/>
        </w:rPr>
        <w:t xml:space="preserve"> и </w:t>
      </w:r>
      <w:r>
        <w:rPr>
          <w:sz w:val="28"/>
        </w:rPr>
        <w:t>прогнозных ресурсов;</w:t>
      </w:r>
    </w:p>
    <w:p w14:paraId="C3010000">
      <w:pPr>
        <w:ind w:firstLine="709" w:left="0"/>
        <w:jc w:val="both"/>
        <w:rPr>
          <w:sz w:val="28"/>
        </w:rPr>
      </w:pPr>
      <w:r>
        <w:rPr>
          <w:sz w:val="28"/>
        </w:rPr>
        <w:t>РБ</w:t>
      </w:r>
      <w:r>
        <w:rPr>
          <w:sz w:val="28"/>
          <w:vertAlign w:val="subscript"/>
        </w:rPr>
        <w:t>сумм</w:t>
      </w:r>
      <w:r>
        <w:rPr>
          <w:sz w:val="28"/>
        </w:rPr>
        <w:t xml:space="preserve"> – общая ресурсная база участка, определяемая по формуле:</w:t>
      </w:r>
    </w:p>
    <w:p w14:paraId="C4010000">
      <w:pPr>
        <w:ind w:firstLine="709" w:left="0"/>
        <w:jc w:val="both"/>
        <w:rPr>
          <w:sz w:val="28"/>
        </w:rPr>
      </w:pPr>
      <w:r>
        <w:rPr>
          <w:sz w:val="28"/>
        </w:rPr>
        <w:t>РБ</w:t>
      </w:r>
      <w:r>
        <w:rPr>
          <w:sz w:val="28"/>
          <w:vertAlign w:val="subscript"/>
        </w:rPr>
        <w:t>сумм</w:t>
      </w:r>
      <w:r>
        <w:rPr>
          <w:sz w:val="28"/>
        </w:rPr>
        <w:t>=</w:t>
      </w:r>
      <w:r>
        <w:rPr>
          <w:sz w:val="28"/>
        </w:rPr>
        <w:t>А+В+С</w:t>
      </w:r>
      <w:r>
        <w:rPr>
          <w:sz w:val="28"/>
          <w:vertAlign w:val="subscript"/>
        </w:rPr>
        <w:t>1</w:t>
      </w:r>
      <w:r>
        <w:rPr>
          <w:sz w:val="28"/>
        </w:rPr>
        <w:t>+С</w:t>
      </w:r>
      <w:r>
        <w:rPr>
          <w:sz w:val="28"/>
          <w:vertAlign w:val="subscript"/>
        </w:rPr>
        <w:t>2</w:t>
      </w:r>
      <w:r>
        <w:rPr>
          <w:sz w:val="28"/>
        </w:rPr>
        <w:t>+Р</w:t>
      </w:r>
      <w:r>
        <w:rPr>
          <w:sz w:val="28"/>
          <w:vertAlign w:val="subscript"/>
        </w:rPr>
        <w:t>1</w:t>
      </w:r>
      <w:r>
        <w:rPr>
          <w:sz w:val="28"/>
        </w:rPr>
        <w:t>+Р</w:t>
      </w:r>
      <w:r>
        <w:rPr>
          <w:sz w:val="28"/>
          <w:vertAlign w:val="subscript"/>
        </w:rPr>
        <w:t>2</w:t>
      </w:r>
      <w:r>
        <w:rPr>
          <w:sz w:val="28"/>
        </w:rPr>
        <w:t>+Р</w:t>
      </w:r>
      <w:r>
        <w:rPr>
          <w:sz w:val="28"/>
          <w:vertAlign w:val="subscript"/>
        </w:rPr>
        <w:t>3</w:t>
      </w:r>
      <w:r>
        <w:rPr>
          <w:sz w:val="28"/>
        </w:rPr>
        <w:t>=0+619,0+1816,9+0+0+0+0 =</w:t>
      </w:r>
      <w:r>
        <w:rPr>
          <w:b w:val="1"/>
          <w:sz w:val="28"/>
        </w:rPr>
        <w:t xml:space="preserve"> 2435,9</w:t>
      </w:r>
      <w:r>
        <w:rPr>
          <w:b w:val="1"/>
          <w:sz w:val="28"/>
        </w:rPr>
        <w:t xml:space="preserve"> </w:t>
      </w:r>
      <w:r>
        <w:rPr>
          <w:b w:val="1"/>
          <w:sz w:val="28"/>
        </w:rPr>
        <w:t>тыс. м</w:t>
      </w:r>
      <w:r>
        <w:rPr>
          <w:b w:val="1"/>
          <w:sz w:val="28"/>
          <w:vertAlign w:val="superscript"/>
        </w:rPr>
        <w:t>3</w:t>
      </w:r>
      <w:r>
        <w:rPr>
          <w:sz w:val="28"/>
        </w:rPr>
        <w:t>.</w:t>
      </w:r>
    </w:p>
    <w:p w14:paraId="C5010000">
      <w:pPr>
        <w:ind w:firstLine="709" w:left="0"/>
        <w:jc w:val="both"/>
        <w:rPr>
          <w:sz w:val="28"/>
        </w:rPr>
      </w:pPr>
      <w:r>
        <w:rPr>
          <w:sz w:val="28"/>
        </w:rPr>
        <w:t>К</w:t>
      </w:r>
      <w:r>
        <w:rPr>
          <w:sz w:val="28"/>
          <w:vertAlign w:val="subscript"/>
        </w:rPr>
        <w:t>изуч</w:t>
      </w:r>
      <w:r>
        <w:rPr>
          <w:sz w:val="28"/>
        </w:rPr>
        <w:t xml:space="preserve"> = 6×2435,9/2435,9 +0</w:t>
      </w:r>
      <w:r>
        <w:rPr>
          <w:sz w:val="28"/>
        </w:rPr>
        <w:t>+0+0+0</w:t>
      </w:r>
      <w:r>
        <w:rPr>
          <w:sz w:val="28"/>
        </w:rPr>
        <w:t xml:space="preserve"> = 6,0</w:t>
      </w:r>
      <w:r>
        <w:rPr>
          <w:sz w:val="28"/>
        </w:rPr>
        <w:t>.</w:t>
      </w:r>
    </w:p>
    <w:p w14:paraId="C6010000">
      <w:pPr>
        <w:ind w:firstLine="708" w:left="0"/>
        <w:jc w:val="both"/>
        <w:rPr>
          <w:sz w:val="28"/>
        </w:rPr>
      </w:pPr>
      <w:r>
        <w:rPr>
          <w:sz w:val="28"/>
        </w:rPr>
        <w:t>К</w:t>
      </w:r>
      <w:r>
        <w:rPr>
          <w:sz w:val="28"/>
          <w:vertAlign w:val="subscript"/>
        </w:rPr>
        <w:t>инфр</w:t>
      </w:r>
      <w:r>
        <w:rPr>
          <w:sz w:val="28"/>
        </w:rPr>
        <w:t xml:space="preserve"> – </w:t>
      </w:r>
      <w:r>
        <w:rPr>
          <w:sz w:val="28"/>
        </w:rPr>
        <w:t xml:space="preserve">поправочный коэффициент, учитывающий состояние инфраструктуры района и основные географо-экономические факторы субъекта Российской Федерации (близость магистральных трубопроводов, железнодорожных путей, иных видов транспорта и коммуникации, источников электроэнергии, состояние местной инфраструктуры), значения которого принимаются равными 1 для участков недр, содержащих только ресурсы и (или) прогнозные ресурсы полезных ископаемых, а для участков недр, содержащих запасы полезных ископаемых либо запасы полезных ископаемых и ресурсы и (или) прогнозные ресурсы полезных ископаемых, </w:t>
      </w:r>
      <w:r>
        <w:rPr>
          <w:sz w:val="28"/>
        </w:rPr>
        <w:t>а для участков недр, содержащих запасы полезных ископаемых либо запасы полезных ископаемых и</w:t>
      </w:r>
      <w:r>
        <w:rPr>
          <w:sz w:val="28"/>
        </w:rPr>
        <w:t xml:space="preserve"> ресурсы и (или) прогнозные ресурсы полезных ископаемых</w:t>
      </w:r>
      <w:r>
        <w:rPr>
          <w:sz w:val="28"/>
        </w:rPr>
        <w:t>,</w:t>
      </w:r>
      <w:r>
        <w:rPr>
          <w:sz w:val="28"/>
        </w:rPr>
        <w:t xml:space="preserve"> значения </w:t>
      </w:r>
      <w:r>
        <w:rPr>
          <w:sz w:val="28"/>
        </w:rPr>
        <w:t>К</w:t>
      </w:r>
      <w:r>
        <w:rPr>
          <w:sz w:val="28"/>
          <w:vertAlign w:val="subscript"/>
        </w:rPr>
        <w:t>инфр</w:t>
      </w:r>
      <w:r>
        <w:rPr>
          <w:sz w:val="28"/>
        </w:rPr>
        <w:t xml:space="preserve"> приведены в </w:t>
      </w:r>
      <w:r>
        <w:rPr>
          <w:sz w:val="28"/>
        </w:rPr>
        <w:fldChar w:fldCharType="begin"/>
      </w:r>
      <w:r>
        <w:rPr>
          <w:sz w:val="28"/>
        </w:rPr>
        <w:instrText>HYPERLINK "consultantplus://offline/ref=C4E247C77DE45E681089AE75BC0CD446BFB7F8B95536506450ADE8ECE8A869503A479396770ACA9D06E7D3D8451C1AE794A459FB7207282CHAu2B"</w:instrText>
      </w:r>
      <w:r>
        <w:rPr>
          <w:sz w:val="28"/>
        </w:rPr>
        <w:fldChar w:fldCharType="separate"/>
      </w:r>
      <w:r>
        <w:rPr>
          <w:sz w:val="28"/>
        </w:rPr>
        <w:t>приложении № 2</w:t>
      </w:r>
      <w:r>
        <w:rPr>
          <w:sz w:val="28"/>
        </w:rPr>
        <w:fldChar w:fldCharType="end"/>
      </w:r>
      <w:r>
        <w:rPr>
          <w:sz w:val="28"/>
        </w:rPr>
        <w:t xml:space="preserve"> к Методике </w:t>
      </w:r>
      <w:r>
        <w:rPr>
          <w:sz w:val="28"/>
        </w:rPr>
        <w:t>(</w:t>
      </w:r>
      <w:r>
        <w:rPr>
          <w:sz w:val="28"/>
        </w:rPr>
        <w:t xml:space="preserve">для Камчатского края </w:t>
      </w:r>
      <w:r>
        <w:rPr>
          <w:b w:val="1"/>
          <w:sz w:val="28"/>
        </w:rPr>
        <w:t>К</w:t>
      </w:r>
      <w:r>
        <w:rPr>
          <w:b w:val="1"/>
          <w:sz w:val="28"/>
          <w:vertAlign w:val="subscript"/>
        </w:rPr>
        <w:t>инфр</w:t>
      </w:r>
      <w:r>
        <w:rPr>
          <w:b w:val="1"/>
          <w:sz w:val="28"/>
        </w:rPr>
        <w:t>. = 1</w:t>
      </w:r>
      <w:r>
        <w:rPr>
          <w:sz w:val="28"/>
        </w:rPr>
        <w:t>);</w:t>
      </w:r>
    </w:p>
    <w:p w14:paraId="C7010000">
      <w:pPr>
        <w:ind w:firstLine="709" w:left="0"/>
        <w:jc w:val="both"/>
        <w:rPr>
          <w:sz w:val="28"/>
        </w:rPr>
      </w:pPr>
      <w:r>
        <w:rPr>
          <w:sz w:val="28"/>
        </w:rPr>
        <w:t>Стартовый размер разового платежа за пользование недрами по участкам недр местного значения составляет:</w:t>
      </w:r>
    </w:p>
    <w:p w14:paraId="C801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РП = </w:t>
      </w:r>
      <w:r>
        <w:rPr>
          <w:sz w:val="28"/>
        </w:rPr>
        <w:t>РП</w:t>
      </w:r>
      <w:r>
        <w:rPr>
          <w:sz w:val="28"/>
          <w:vertAlign w:val="subscript"/>
        </w:rPr>
        <w:t>мин</w:t>
      </w:r>
      <w:r>
        <w:rPr>
          <w:sz w:val="28"/>
        </w:rPr>
        <w:t xml:space="preserve"> × </w:t>
      </w:r>
      <w:r>
        <w:rPr>
          <w:sz w:val="28"/>
        </w:rPr>
        <w:t>К</w:t>
      </w:r>
      <w:r>
        <w:rPr>
          <w:sz w:val="28"/>
          <w:vertAlign w:val="subscript"/>
        </w:rPr>
        <w:t>инт</w:t>
      </w:r>
      <w:r>
        <w:rPr>
          <w:sz w:val="28"/>
        </w:rPr>
        <w:t xml:space="preserve">, где: </w:t>
      </w:r>
      <w:r>
        <w:rPr>
          <w:sz w:val="28"/>
        </w:rPr>
        <w:t>К</w:t>
      </w:r>
      <w:r>
        <w:rPr>
          <w:sz w:val="28"/>
          <w:vertAlign w:val="subscript"/>
        </w:rPr>
        <w:t>инт</w:t>
      </w:r>
      <w:r>
        <w:rPr>
          <w:sz w:val="28"/>
        </w:rPr>
        <w:t xml:space="preserve"> = К</w:t>
      </w:r>
      <w:r>
        <w:rPr>
          <w:sz w:val="28"/>
          <w:vertAlign w:val="subscript"/>
        </w:rPr>
        <w:t>изуч</w:t>
      </w:r>
      <w:r>
        <w:rPr>
          <w:sz w:val="28"/>
        </w:rPr>
        <w:t xml:space="preserve"> × К</w:t>
      </w:r>
      <w:r>
        <w:rPr>
          <w:sz w:val="28"/>
          <w:vertAlign w:val="subscript"/>
        </w:rPr>
        <w:t>инфр</w:t>
      </w:r>
      <w:r>
        <w:rPr>
          <w:sz w:val="28"/>
        </w:rPr>
        <w:t xml:space="preserve"> = 6,0 × 1,0= 6,0;</w:t>
      </w:r>
      <w:r>
        <w:rPr>
          <w:sz w:val="28"/>
        </w:rPr>
        <w:t xml:space="preserve"> </w:t>
      </w:r>
    </w:p>
    <w:p w14:paraId="C901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РП = </w:t>
      </w:r>
      <w:r>
        <w:rPr>
          <w:sz w:val="28"/>
        </w:rPr>
        <w:t>238891,37</w:t>
      </w:r>
      <w:r>
        <w:rPr>
          <w:sz w:val="28"/>
        </w:rPr>
        <w:t> × 6,0</w:t>
      </w:r>
      <w:r>
        <w:rPr>
          <w:sz w:val="28"/>
        </w:rPr>
        <w:t xml:space="preserve"> = </w:t>
      </w:r>
      <w:r>
        <w:rPr>
          <w:sz w:val="28"/>
        </w:rPr>
        <w:t>1 433 348</w:t>
      </w:r>
      <w:r>
        <w:rPr>
          <w:sz w:val="28"/>
        </w:rPr>
        <w:t>,22 руб.</w:t>
      </w:r>
    </w:p>
    <w:p w14:paraId="CA010000">
      <w:pPr>
        <w:ind w:firstLine="709" w:left="0"/>
        <w:jc w:val="both"/>
        <w:rPr>
          <w:b w:val="1"/>
          <w:sz w:val="28"/>
        </w:rPr>
      </w:pPr>
      <w:r>
        <w:rPr>
          <w:b w:val="0"/>
          <w:sz w:val="28"/>
        </w:rPr>
        <w:t>Стартовый размер разового платежа за пользование недрами –</w:t>
      </w:r>
      <w:r>
        <w:rPr>
          <w:b w:val="1"/>
          <w:sz w:val="28"/>
        </w:rPr>
        <w:t xml:space="preserve"> </w:t>
      </w:r>
      <w:r>
        <w:br/>
      </w:r>
      <w:r>
        <w:rPr>
          <w:b w:val="1"/>
          <w:sz w:val="28"/>
        </w:rPr>
        <w:t>1 433 348, 00 </w:t>
      </w:r>
      <w:r>
        <w:rPr>
          <w:b w:val="1"/>
          <w:sz w:val="28"/>
        </w:rPr>
        <w:t xml:space="preserve">рублей </w:t>
      </w:r>
      <w:r>
        <w:rPr>
          <w:b w:val="0"/>
          <w:sz w:val="28"/>
        </w:rPr>
        <w:t>(</w:t>
      </w:r>
      <w:r>
        <w:rPr>
          <w:b w:val="0"/>
          <w:sz w:val="28"/>
        </w:rPr>
        <w:t>с учетом округления)</w:t>
      </w:r>
      <w:r>
        <w:rPr>
          <w:b w:val="1"/>
          <w:sz w:val="28"/>
        </w:rPr>
        <w:t>.</w:t>
      </w:r>
    </w:p>
    <w:p w14:paraId="CB010000">
      <w:pPr>
        <w:ind w:firstLine="0" w:left="13" w:right="13"/>
        <w:jc w:val="center"/>
        <w:outlineLvl w:val="0"/>
        <w:rPr>
          <w:color w:themeColor="accent6" w:themeShade="80" w:val="994907"/>
          <w:sz w:val="28"/>
        </w:rPr>
      </w:pPr>
    </w:p>
    <w:p w14:paraId="CC010000">
      <w:pPr>
        <w:ind w:firstLine="0" w:left="13" w:right="13"/>
        <w:jc w:val="center"/>
        <w:outlineLvl w:val="0"/>
        <w:rPr>
          <w:color w:themeColor="accent6" w:themeShade="80" w:val="994907"/>
          <w:sz w:val="28"/>
        </w:rPr>
      </w:pPr>
    </w:p>
    <w:p w14:paraId="CD010000">
      <w:pPr>
        <w:ind w:firstLine="0" w:left="13" w:right="13"/>
        <w:jc w:val="center"/>
        <w:outlineLvl w:val="0"/>
        <w:rPr>
          <w:color w:themeColor="accent6" w:themeShade="80" w:val="994907"/>
          <w:sz w:val="28"/>
        </w:rPr>
      </w:pPr>
    </w:p>
    <w:p w14:paraId="CE010000">
      <w:pPr>
        <w:ind w:firstLine="0" w:left="13" w:right="13"/>
        <w:jc w:val="center"/>
        <w:outlineLvl w:val="0"/>
        <w:rPr>
          <w:color w:themeColor="accent6" w:themeShade="80" w:val="994907"/>
          <w:sz w:val="28"/>
        </w:rPr>
      </w:pPr>
    </w:p>
    <w:p w14:paraId="CF010000">
      <w:pPr>
        <w:ind w:firstLine="0" w:left="13" w:right="13"/>
        <w:jc w:val="center"/>
        <w:outlineLvl w:val="0"/>
        <w:rPr>
          <w:color w:themeColor="accent6" w:themeShade="80" w:val="994907"/>
          <w:sz w:val="28"/>
        </w:rPr>
      </w:pPr>
    </w:p>
    <w:p w14:paraId="D0010000">
      <w:pPr>
        <w:ind w:firstLine="0" w:left="13" w:right="13"/>
        <w:jc w:val="center"/>
        <w:outlineLvl w:val="0"/>
        <w:rPr>
          <w:color w:themeColor="accent6" w:themeShade="80" w:val="994907"/>
          <w:sz w:val="28"/>
        </w:rPr>
      </w:pPr>
    </w:p>
    <w:p w14:paraId="D1010000">
      <w:pPr>
        <w:ind w:firstLine="0" w:left="13" w:right="13"/>
        <w:jc w:val="center"/>
        <w:outlineLvl w:val="0"/>
        <w:rPr>
          <w:color w:themeColor="accent6" w:themeShade="80" w:val="994907"/>
          <w:sz w:val="28"/>
        </w:rPr>
      </w:pPr>
    </w:p>
    <w:p w14:paraId="D2010000">
      <w:pPr>
        <w:ind w:firstLine="0" w:left="13" w:right="13"/>
        <w:jc w:val="center"/>
        <w:outlineLvl w:val="0"/>
        <w:rPr>
          <w:color w:themeColor="accent6" w:themeShade="80" w:val="994907"/>
          <w:sz w:val="28"/>
        </w:rPr>
      </w:pPr>
    </w:p>
    <w:p w14:paraId="D3010000">
      <w:pPr>
        <w:ind w:firstLine="0" w:left="13" w:right="13"/>
        <w:jc w:val="center"/>
        <w:outlineLvl w:val="0"/>
        <w:rPr>
          <w:color w:themeColor="accent6" w:themeShade="80" w:val="994907"/>
          <w:sz w:val="28"/>
        </w:rPr>
      </w:pPr>
    </w:p>
    <w:p w14:paraId="D4010000">
      <w:pPr>
        <w:ind w:firstLine="0" w:left="13" w:right="13"/>
        <w:jc w:val="center"/>
        <w:outlineLvl w:val="0"/>
        <w:rPr>
          <w:color w:themeColor="accent6" w:themeShade="80" w:val="994907"/>
          <w:sz w:val="28"/>
        </w:rPr>
      </w:pPr>
    </w:p>
    <w:p w14:paraId="D5010000">
      <w:pPr>
        <w:ind w:firstLine="0" w:left="13" w:right="13"/>
        <w:jc w:val="center"/>
        <w:outlineLvl w:val="0"/>
        <w:rPr>
          <w:color w:themeColor="accent6" w:themeShade="80" w:val="994907"/>
          <w:sz w:val="28"/>
        </w:rPr>
      </w:pPr>
    </w:p>
    <w:p w14:paraId="D6010000">
      <w:pPr>
        <w:ind w:firstLine="0" w:left="13" w:right="13"/>
        <w:jc w:val="center"/>
        <w:outlineLvl w:val="0"/>
        <w:rPr>
          <w:color w:themeColor="accent6" w:themeShade="80" w:val="994907"/>
          <w:sz w:val="28"/>
        </w:rPr>
      </w:pPr>
    </w:p>
    <w:p w14:paraId="D7010000">
      <w:pPr>
        <w:ind w:firstLine="0" w:left="13" w:right="13"/>
        <w:jc w:val="center"/>
        <w:outlineLvl w:val="0"/>
        <w:rPr>
          <w:color w:themeColor="accent6" w:themeShade="80" w:val="994907"/>
          <w:sz w:val="28"/>
        </w:rPr>
      </w:pPr>
    </w:p>
    <w:p w14:paraId="D8010000">
      <w:pPr>
        <w:ind w:firstLine="0" w:left="13" w:right="13"/>
        <w:jc w:val="center"/>
        <w:outlineLvl w:val="0"/>
        <w:rPr>
          <w:color w:themeColor="accent6" w:themeShade="80" w:val="994907"/>
          <w:sz w:val="28"/>
        </w:rPr>
      </w:pPr>
    </w:p>
    <w:p w14:paraId="D9010000">
      <w:pPr>
        <w:widowControl w:val="0"/>
        <w:ind w:firstLine="0" w:left="5244"/>
        <w:rPr>
          <w:sz w:val="28"/>
        </w:rPr>
      </w:pPr>
      <w:r>
        <w:rPr>
          <w:sz w:val="28"/>
        </w:rPr>
        <w:t xml:space="preserve">Приложение 2 к Порядку и </w:t>
      </w:r>
      <w:r>
        <w:rPr>
          <w:sz w:val="28"/>
        </w:rPr>
        <w:t>условиям проведения аукциона</w:t>
      </w:r>
    </w:p>
    <w:p w14:paraId="DA010000">
      <w:pPr>
        <w:tabs>
          <w:tab w:leader="none" w:pos="993" w:val="left"/>
        </w:tabs>
        <w:ind/>
        <w:jc w:val="center"/>
        <w:rPr>
          <w:sz w:val="28"/>
        </w:rPr>
      </w:pPr>
    </w:p>
    <w:p w14:paraId="DB010000">
      <w:pPr>
        <w:ind/>
        <w:jc w:val="center"/>
        <w:rPr>
          <w:sz w:val="28"/>
        </w:rPr>
      </w:pPr>
      <w:r>
        <w:rPr>
          <w:sz w:val="28"/>
        </w:rPr>
        <w:t>Определение суммы сбора за участие в аукционе на право пользования</w:t>
      </w:r>
    </w:p>
    <w:p w14:paraId="DC010000">
      <w:pPr>
        <w:ind w:firstLine="0" w:left="13" w:right="13"/>
        <w:jc w:val="center"/>
        <w:outlineLvl w:val="0"/>
        <w:rPr>
          <w:spacing w:val="-5"/>
          <w:sz w:val="28"/>
        </w:rPr>
      </w:pPr>
      <w:r>
        <w:rPr>
          <w:spacing w:val="-5"/>
          <w:sz w:val="28"/>
        </w:rPr>
        <w:t xml:space="preserve">участками недр местного значения «Сопка Лысая-1» и «Сопка Лысая-2» </w:t>
      </w:r>
      <w:r>
        <w:rPr>
          <w:spacing w:val="-5"/>
          <w:sz w:val="28"/>
        </w:rPr>
        <w:t xml:space="preserve">месторождения </w:t>
      </w:r>
      <w:r>
        <w:rPr>
          <w:spacing w:val="-5"/>
          <w:sz w:val="28"/>
        </w:rPr>
        <w:t xml:space="preserve">песка </w:t>
      </w:r>
      <w:r>
        <w:rPr>
          <w:spacing w:val="-5"/>
          <w:sz w:val="28"/>
        </w:rPr>
        <w:t xml:space="preserve">строительного </w:t>
      </w:r>
      <w:r>
        <w:rPr>
          <w:spacing w:val="-5"/>
          <w:sz w:val="28"/>
        </w:rPr>
        <w:t>Сопка Лысая</w:t>
      </w:r>
    </w:p>
    <w:p w14:paraId="DD010000">
      <w:pPr>
        <w:ind/>
        <w:jc w:val="center"/>
        <w:rPr>
          <w:color w:val="C9211E"/>
          <w:spacing w:val="-5"/>
        </w:rPr>
      </w:pPr>
    </w:p>
    <w:p w14:paraId="DE010000">
      <w:pPr>
        <w:tabs>
          <w:tab w:leader="none" w:pos="993" w:val="left"/>
          <w:tab w:leader="none" w:pos="1276" w:val="left"/>
        </w:tabs>
        <w:ind w:firstLine="709" w:left="0"/>
        <w:contextualSpacing w:val="1"/>
        <w:jc w:val="both"/>
        <w:rPr>
          <w:sz w:val="28"/>
        </w:rPr>
      </w:pPr>
      <w:r>
        <w:rPr>
          <w:sz w:val="28"/>
        </w:rPr>
        <w:t xml:space="preserve">Настоящий расчет подготовлен на основании части 4 совместного приказа Минприроды России № 756 и Роснедр № 12 от 15.10.2021 «Об утверждении Порядка определения суммы сбора за участие в аукционах на право пользования участками недр». </w:t>
      </w:r>
    </w:p>
    <w:p w14:paraId="DF01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Сумма сбора за участие </w:t>
      </w:r>
      <w:r>
        <w:rPr>
          <w:sz w:val="28"/>
        </w:rPr>
        <w:t>в аукционах определяется исходя из стоимости затрат на подготовку, проведение и подведение итогов аукциона, оплату труда привлекаемых экспертов.</w:t>
      </w:r>
    </w:p>
    <w:p w14:paraId="E0010000">
      <w:pPr>
        <w:ind w:firstLine="709" w:left="0"/>
        <w:jc w:val="both"/>
        <w:rPr>
          <w:sz w:val="28"/>
        </w:rPr>
      </w:pPr>
      <w:r>
        <w:rPr>
          <w:sz w:val="28"/>
        </w:rPr>
        <w:t xml:space="preserve">Сумма сбора за участие в аукционе, взимаемая с каждого участника аукциона, определяется по формуле: </w:t>
      </w:r>
    </w:p>
    <w:p w14:paraId="E1010000">
      <w:pPr>
        <w:ind w:firstLine="680" w:left="0"/>
        <w:jc w:val="both"/>
      </w:pPr>
      <w:r>
        <w:rPr>
          <w:sz w:val="28"/>
        </w:rPr>
        <w:t>С = С</w:t>
      </w:r>
      <w:r>
        <w:rPr>
          <w:sz w:val="28"/>
          <w:vertAlign w:val="subscript"/>
        </w:rPr>
        <w:t>фикс</w:t>
      </w:r>
      <w:r>
        <w:rPr>
          <w:sz w:val="28"/>
        </w:rPr>
        <w:t xml:space="preserve"> x К</w:t>
      </w:r>
      <w:r>
        <w:rPr>
          <w:sz w:val="28"/>
          <w:vertAlign w:val="subscript"/>
        </w:rPr>
        <w:t xml:space="preserve">ин </w:t>
      </w:r>
      <w:r>
        <w:rPr>
          <w:sz w:val="28"/>
        </w:rPr>
        <w:t xml:space="preserve">, где: </w:t>
      </w:r>
    </w:p>
    <w:p w14:paraId="E2010000">
      <w:pPr>
        <w:ind w:firstLine="680" w:left="0"/>
        <w:jc w:val="both"/>
        <w:rPr>
          <w:sz w:val="28"/>
        </w:rPr>
      </w:pPr>
      <w:r>
        <w:rPr>
          <w:sz w:val="28"/>
        </w:rPr>
        <w:t xml:space="preserve">С (руб.) – сумма сбора за участие в аукционе. Сумма сбора за участие в аукционе округляется по правилам арифметического округления до целых рублей; </w:t>
      </w:r>
    </w:p>
    <w:p w14:paraId="E3010000">
      <w:pPr>
        <w:ind w:firstLine="680" w:left="0"/>
        <w:jc w:val="both"/>
      </w:pPr>
      <w:r>
        <w:rPr>
          <w:sz w:val="28"/>
        </w:rPr>
        <w:t>С</w:t>
      </w:r>
      <w:r>
        <w:rPr>
          <w:sz w:val="28"/>
          <w:vertAlign w:val="subscript"/>
        </w:rPr>
        <w:t>фикс</w:t>
      </w:r>
      <w:r>
        <w:rPr>
          <w:sz w:val="28"/>
        </w:rPr>
        <w:t xml:space="preserve"> (руб.) – фиксированная часть суммы сбора за участие в аукционе, устанавливаемая в следующем размере: 47000 (сорок семь тысяч) рублей для аукционов на право пользования участками недр местного значения; </w:t>
      </w:r>
    </w:p>
    <w:p w14:paraId="E4010000">
      <w:pPr>
        <w:ind w:firstLine="680" w:left="0"/>
        <w:jc w:val="both"/>
      </w:pPr>
      <w:r>
        <w:rPr>
          <w:sz w:val="28"/>
        </w:rPr>
        <w:t>К</w:t>
      </w:r>
      <w:r>
        <w:rPr>
          <w:sz w:val="28"/>
          <w:vertAlign w:val="subscript"/>
        </w:rPr>
        <w:t>ин</w:t>
      </w:r>
      <w:r>
        <w:rPr>
          <w:sz w:val="28"/>
        </w:rPr>
        <w:t xml:space="preserve"> – коэффициент, учитывающий фак</w:t>
      </w:r>
      <w:r>
        <w:rPr>
          <w:sz w:val="28"/>
        </w:rPr>
        <w:t>тическое изменение потребительских цен на товары и услуги в Российской Федерации. Определяется как произведение коэффициентов, рассчитанных на основе индексов потребительских цен на все товары и услуги по Российской Федерации (месяц в процентах к предыдуще</w:t>
      </w:r>
      <w:r>
        <w:rPr>
          <w:sz w:val="28"/>
        </w:rPr>
        <w:t xml:space="preserve">му месяцу), публикуемых Федеральной службой государственной статистики на своем официальном сайте в информационно-телекоммуникационной сети «Интернет» за период с месяца, в котором утвержден настоящий Порядок, до месяца, в котором производится определение </w:t>
      </w:r>
      <w:r>
        <w:rPr>
          <w:sz w:val="28"/>
        </w:rPr>
        <w:t>суммы сбора за участие в аукционе, взимаемая с каждого участника аукциона, в соответствии с настоящим Порядком. Для перевода индексов потребительских цен на товары и услуги в коэффициенты, их значение за каждый период, приведенное в процентах, делится на 1</w:t>
      </w:r>
      <w:r>
        <w:rPr>
          <w:sz w:val="28"/>
        </w:rPr>
        <w:t xml:space="preserve">00. </w:t>
      </w:r>
    </w:p>
    <w:p w14:paraId="E5010000">
      <w:pPr>
        <w:ind w:firstLine="680" w:left="0"/>
        <w:jc w:val="both"/>
        <w:rPr>
          <w:rFonts w:ascii="Times New Roman" w:hAnsi="Times New Roman"/>
          <w:sz w:val="28"/>
        </w:rPr>
      </w:pPr>
      <w:r>
        <w:rPr>
          <w:sz w:val="28"/>
        </w:rPr>
        <w:t>С = С</w:t>
      </w:r>
      <w:r>
        <w:rPr>
          <w:sz w:val="28"/>
          <w:vertAlign w:val="subscript"/>
        </w:rPr>
        <w:t>фикс</w:t>
      </w:r>
      <w:r>
        <w:rPr>
          <w:sz w:val="28"/>
        </w:rPr>
        <w:t xml:space="preserve"> x К</w:t>
      </w:r>
      <w:r>
        <w:rPr>
          <w:sz w:val="28"/>
          <w:vertAlign w:val="subscript"/>
        </w:rPr>
        <w:t>ин</w:t>
      </w:r>
      <w:r>
        <w:rPr>
          <w:sz w:val="28"/>
        </w:rPr>
        <w:t xml:space="preserve"> = </w:t>
      </w:r>
      <w:r>
        <w:rPr>
          <w:sz w:val="28"/>
        </w:rPr>
        <w:t xml:space="preserve">1,0111 х 1,0096 х 1,0082 х 1,0099 х 1,0117 х 1,0761 х 1,0156 х 1,0012 х 0,9965 х 0,9961 х 0,9948 х 1,0005 х 1,0018 х 1,0037 х 1,0078 х 1,0084 х 1,0046 х 1,0037 х 1,0038 х 1,0031 х 1,0037 х 1,0063 х 1,0028 х 1,0087 х 1,0083 х </w:t>
      </w:r>
      <w:r>
        <w:rPr>
          <w:sz w:val="28"/>
        </w:rPr>
        <w:t xml:space="preserve">1,0111 х </w:t>
      </w:r>
      <w:r>
        <w:rPr>
          <w:sz w:val="28"/>
        </w:rPr>
        <w:t xml:space="preserve">47 000,00 рублей = 57 </w:t>
      </w:r>
      <w:r>
        <w:rPr>
          <w:sz w:val="28"/>
        </w:rPr>
        <w:t>732,40</w:t>
      </w:r>
      <w:r>
        <w:rPr>
          <w:sz w:val="28"/>
        </w:rPr>
        <w:t xml:space="preserve"> = 57 </w:t>
      </w:r>
      <w:r>
        <w:rPr>
          <w:sz w:val="28"/>
        </w:rPr>
        <w:t>732</w:t>
      </w:r>
      <w:r>
        <w:rPr>
          <w:sz w:val="28"/>
        </w:rPr>
        <w:t>,00 рублей</w:t>
      </w:r>
      <w:r>
        <w:rPr>
          <w:sz w:val="28"/>
        </w:rPr>
        <w:t>.</w:t>
      </w:r>
    </w:p>
    <w:p w14:paraId="E6010000">
      <w:pPr>
        <w:ind w:firstLine="680" w:left="0"/>
        <w:jc w:val="both"/>
      </w:pPr>
      <w:r>
        <w:rPr>
          <w:sz w:val="28"/>
        </w:rPr>
        <w:t>С учетом округления С = 57 732,00</w:t>
      </w:r>
      <w:r>
        <w:rPr>
          <w:b w:val="1"/>
          <w:sz w:val="28"/>
        </w:rPr>
        <w:t xml:space="preserve"> </w:t>
      </w:r>
      <w:r>
        <w:rPr>
          <w:sz w:val="28"/>
        </w:rPr>
        <w:t>(пятьдесят семь тысяч семьсот тридцать два) рубля.</w:t>
      </w:r>
    </w:p>
    <w:p w14:paraId="E7010000">
      <w:pPr>
        <w:ind w:firstLine="0" w:left="13" w:right="13"/>
        <w:jc w:val="center"/>
        <w:outlineLvl w:val="0"/>
        <w:rPr>
          <w:color w:val="C9211E"/>
          <w:sz w:val="28"/>
        </w:rPr>
      </w:pPr>
    </w:p>
    <w:p w14:paraId="E8010000">
      <w:pPr>
        <w:ind w:firstLine="0" w:left="13" w:right="13"/>
        <w:jc w:val="center"/>
        <w:outlineLvl w:val="0"/>
        <w:rPr>
          <w:color w:val="C9211E"/>
        </w:rPr>
      </w:pPr>
    </w:p>
    <w:p w14:paraId="E9010000">
      <w:pPr>
        <w:ind w:firstLine="0" w:left="13" w:right="13"/>
        <w:jc w:val="center"/>
        <w:outlineLvl w:val="0"/>
        <w:rPr>
          <w:color w:themeColor="accent6" w:themeShade="80" w:val="994907"/>
          <w:sz w:val="28"/>
        </w:rPr>
      </w:pPr>
    </w:p>
    <w:sectPr>
      <w:headerReference r:id="rId1" w:type="default"/>
      <w:pgSz w:h="16838" w:orient="portrait" w:w="11906"/>
      <w:pgMar w:bottom="851" w:footer="709" w:gutter="0" w:header="709" w:left="1701" w:right="567" w:top="993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p>
    <w:pPr>
      <w:framePr w:hAnchor="margin" w:vAnchor="text" w:wrap="around" w:xAlign="center" w:y="1"/>
    </w:pPr>
    <w:r>
      <w:fldChar w:fldCharType="begin"/>
    </w:r>
    <w:r>
      <w:instrText xml:space="preserve">PAGE </w:instrText>
    </w:r>
    <w:r>
      <w:fldChar w:fldCharType="separate"/>
    </w:r>
    <w:r>
      <w:fldChar w:fldCharType="end"/>
    </w:r>
  </w:p>
  <w:p w14:paraId="01000000">
    <w:pPr>
      <w:pStyle w:val="Style_1"/>
      <w:ind/>
      <w:jc w:val="center"/>
    </w:pPr>
  </w:p>
  <w:p w14:paraId="02000000"/>
</w:hdr>
</file>

<file path=word/numbering.xml><?xml version="1.0" encoding="utf-8"?>
<w:number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abstractNum w:abstractNumId="0">
    <w:lvl w:ilvl="0">
      <w:start w:val="1"/>
      <w:numFmt w:val="decimal"/>
      <w:lvlText w:val="%1."/>
      <w:lvlJc w:val="left"/>
      <w:pPr>
        <w:ind w:hanging="360" w:left="1429"/>
      </w:pPr>
      <w:rPr>
        <w:color w:val="000000"/>
      </w:rPr>
    </w:lvl>
    <w:lvl w:ilvl="1">
      <w:start w:val="1"/>
      <w:numFmt w:val="lowerLetter"/>
      <w:lvlText w:val="%2."/>
      <w:lvlJc w:val="left"/>
      <w:pPr>
        <w:ind w:hanging="360" w:left="2149"/>
      </w:pPr>
    </w:lvl>
    <w:lvl w:ilvl="2">
      <w:start w:val="1"/>
      <w:numFmt w:val="lowerRoman"/>
      <w:lvlText w:val="%3."/>
      <w:lvlJc w:val="right"/>
      <w:pPr>
        <w:ind w:hanging="180" w:left="2869"/>
      </w:pPr>
    </w:lvl>
    <w:lvl w:ilvl="3">
      <w:start w:val="1"/>
      <w:numFmt w:val="decimal"/>
      <w:lvlText w:val="%4."/>
      <w:lvlJc w:val="left"/>
      <w:pPr>
        <w:ind w:hanging="360" w:left="3589"/>
      </w:pPr>
    </w:lvl>
    <w:lvl w:ilvl="4">
      <w:start w:val="1"/>
      <w:numFmt w:val="lowerLetter"/>
      <w:lvlText w:val="%5."/>
      <w:lvlJc w:val="left"/>
      <w:pPr>
        <w:ind w:hanging="360" w:left="4309"/>
      </w:pPr>
    </w:lvl>
    <w:lvl w:ilvl="5">
      <w:start w:val="1"/>
      <w:numFmt w:val="lowerRoman"/>
      <w:lvlText w:val="%6."/>
      <w:lvlJc w:val="right"/>
      <w:pPr>
        <w:ind w:hanging="180" w:left="5029"/>
      </w:pPr>
    </w:lvl>
    <w:lvl w:ilvl="6">
      <w:start w:val="1"/>
      <w:numFmt w:val="decimal"/>
      <w:lvlText w:val="%7."/>
      <w:lvlJc w:val="left"/>
      <w:pPr>
        <w:ind w:hanging="360" w:left="5749"/>
      </w:pPr>
    </w:lvl>
    <w:lvl w:ilvl="7">
      <w:start w:val="1"/>
      <w:numFmt w:val="lowerLetter"/>
      <w:lvlText w:val="%8."/>
      <w:lvlJc w:val="left"/>
      <w:pPr>
        <w:ind w:hanging="360" w:left="6469"/>
      </w:pPr>
    </w:lvl>
    <w:lvl w:ilvl="8">
      <w:start w:val="1"/>
      <w:numFmt w:val="lowerRoman"/>
      <w:lvlText w:val="%9."/>
      <w:lvlJc w:val="right"/>
      <w:pPr>
        <w:ind w:hanging="180" w:left="7189"/>
      </w:pPr>
    </w:lvl>
  </w:abstractNum>
  <w:abstractNum w:abstractNumId="1">
    <w:lvl w:ilvl="0">
      <w:start w:val="1"/>
      <w:numFmt w:val="decimal"/>
      <w:lvlText w:val="%1)"/>
      <w:lvlJc w:val="left"/>
      <w:pPr>
        <w:ind w:hanging="360" w:left="1260"/>
      </w:pPr>
    </w:lvl>
    <w:lvl w:ilvl="1">
      <w:start w:val="1"/>
      <w:numFmt w:val="lowerLetter"/>
      <w:lvlText w:val="%2."/>
      <w:lvlJc w:val="left"/>
      <w:pPr>
        <w:ind w:hanging="360" w:left="1980"/>
      </w:pPr>
    </w:lvl>
    <w:lvl w:ilvl="2">
      <w:start w:val="1"/>
      <w:numFmt w:val="lowerRoman"/>
      <w:lvlText w:val="%3."/>
      <w:lvlJc w:val="right"/>
      <w:pPr>
        <w:ind w:hanging="180" w:left="2700"/>
      </w:pPr>
    </w:lvl>
    <w:lvl w:ilvl="3">
      <w:start w:val="1"/>
      <w:numFmt w:val="decimal"/>
      <w:lvlText w:val="%4."/>
      <w:lvlJc w:val="left"/>
      <w:pPr>
        <w:ind w:hanging="360" w:left="3420"/>
      </w:pPr>
    </w:lvl>
    <w:lvl w:ilvl="4">
      <w:start w:val="1"/>
      <w:numFmt w:val="lowerLetter"/>
      <w:lvlText w:val="%5."/>
      <w:lvlJc w:val="left"/>
      <w:pPr>
        <w:ind w:hanging="360" w:left="4140"/>
      </w:pPr>
    </w:lvl>
    <w:lvl w:ilvl="5">
      <w:start w:val="1"/>
      <w:numFmt w:val="lowerRoman"/>
      <w:lvlText w:val="%6."/>
      <w:lvlJc w:val="right"/>
      <w:pPr>
        <w:ind w:hanging="180" w:left="4860"/>
      </w:pPr>
    </w:lvl>
    <w:lvl w:ilvl="6">
      <w:start w:val="1"/>
      <w:numFmt w:val="decimal"/>
      <w:lvlText w:val="%7."/>
      <w:lvlJc w:val="left"/>
      <w:pPr>
        <w:ind w:hanging="360" w:left="5580"/>
      </w:pPr>
    </w:lvl>
    <w:lvl w:ilvl="7">
      <w:start w:val="1"/>
      <w:numFmt w:val="lowerLetter"/>
      <w:lvlText w:val="%8."/>
      <w:lvlJc w:val="left"/>
      <w:pPr>
        <w:ind w:hanging="360" w:left="6300"/>
      </w:pPr>
    </w:lvl>
    <w:lvl w:ilvl="8">
      <w:start w:val="1"/>
      <w:numFmt w:val="lowerRoman"/>
      <w:lvlText w:val="%9."/>
      <w:lvlJc w:val="right"/>
      <w:pPr>
        <w:ind w:hanging="180" w:left="7020"/>
      </w:pPr>
    </w:lvl>
  </w:abstractNum>
  <w:abstractNum w:abstractNumId="2">
    <w:lvl w:ilvl="0">
      <w:start w:val="1"/>
      <w:numFmt w:val="decimal"/>
      <w:lvlText w:val="%1)"/>
      <w:lvlJc w:val="left"/>
      <w:pPr>
        <w:tabs>
          <w:tab w:leader="none" w:pos="1260" w:val="left"/>
        </w:tabs>
        <w:ind w:hanging="360" w:left="1260"/>
      </w:pPr>
    </w:lvl>
    <w:lvl w:ilvl="1">
      <w:start w:val="1"/>
      <w:numFmt w:val="lowerLetter"/>
      <w:lvlText w:val="%2."/>
      <w:lvlJc w:val="left"/>
      <w:pPr>
        <w:tabs>
          <w:tab w:leader="none" w:pos="1980" w:val="left"/>
        </w:tabs>
        <w:ind w:hanging="360" w:left="1980"/>
      </w:pPr>
    </w:lvl>
    <w:lvl w:ilvl="2">
      <w:start w:val="1"/>
      <w:numFmt w:val="lowerRoman"/>
      <w:lvlText w:val="%3."/>
      <w:lvlJc w:val="right"/>
      <w:pPr>
        <w:tabs>
          <w:tab w:leader="none" w:pos="2700" w:val="left"/>
        </w:tabs>
        <w:ind w:hanging="180" w:left="2700"/>
      </w:pPr>
    </w:lvl>
    <w:lvl w:ilvl="3">
      <w:start w:val="1"/>
      <w:numFmt w:val="decimal"/>
      <w:lvlText w:val="%4."/>
      <w:lvlJc w:val="left"/>
      <w:pPr>
        <w:tabs>
          <w:tab w:leader="none" w:pos="3420" w:val="left"/>
        </w:tabs>
        <w:ind w:hanging="360" w:left="3420"/>
      </w:pPr>
    </w:lvl>
    <w:lvl w:ilvl="4">
      <w:start w:val="1"/>
      <w:numFmt w:val="lowerLetter"/>
      <w:lvlText w:val="%5."/>
      <w:lvlJc w:val="left"/>
      <w:pPr>
        <w:tabs>
          <w:tab w:leader="none" w:pos="4140" w:val="left"/>
        </w:tabs>
        <w:ind w:hanging="360" w:left="4140"/>
      </w:pPr>
    </w:lvl>
    <w:lvl w:ilvl="5">
      <w:start w:val="1"/>
      <w:numFmt w:val="lowerRoman"/>
      <w:lvlText w:val="%6."/>
      <w:lvlJc w:val="right"/>
      <w:pPr>
        <w:tabs>
          <w:tab w:leader="none" w:pos="4860" w:val="left"/>
        </w:tabs>
        <w:ind w:hanging="180" w:left="4860"/>
      </w:pPr>
    </w:lvl>
    <w:lvl w:ilvl="6">
      <w:start w:val="1"/>
      <w:numFmt w:val="decimal"/>
      <w:lvlText w:val="%7."/>
      <w:lvlJc w:val="left"/>
      <w:pPr>
        <w:tabs>
          <w:tab w:leader="none" w:pos="5580" w:val="left"/>
        </w:tabs>
        <w:ind w:hanging="360" w:left="5580"/>
      </w:pPr>
    </w:lvl>
    <w:lvl w:ilvl="7">
      <w:start w:val="1"/>
      <w:numFmt w:val="lowerLetter"/>
      <w:lvlText w:val="%8."/>
      <w:lvlJc w:val="left"/>
      <w:pPr>
        <w:tabs>
          <w:tab w:leader="none" w:pos="6300" w:val="left"/>
        </w:tabs>
        <w:ind w:hanging="360" w:left="6300"/>
      </w:pPr>
    </w:lvl>
    <w:lvl w:ilvl="8">
      <w:start w:val="1"/>
      <w:numFmt w:val="lowerRoman"/>
      <w:lvlText w:val="%9."/>
      <w:lvlJc w:val="right"/>
      <w:pPr>
        <w:tabs>
          <w:tab w:leader="none" w:pos="7020" w:val="left"/>
        </w:tabs>
        <w:ind w:hanging="180" w:left="7020"/>
      </w:pPr>
    </w:lvl>
  </w:abstractNum>
  <w:abstractNum w:abstractNumId="3">
    <w:lvl w:ilvl="0">
      <w:start w:val="1"/>
      <w:numFmt w:val="decimal"/>
      <w:lvlText w:val="%1)"/>
      <w:lvlJc w:val="left"/>
      <w:pPr>
        <w:ind w:hanging="360" w:left="1260"/>
      </w:pPr>
    </w:lvl>
    <w:lvl w:ilvl="1">
      <w:start w:val="1"/>
      <w:numFmt w:val="lowerLetter"/>
      <w:lvlText w:val="%2."/>
      <w:lvlJc w:val="left"/>
      <w:pPr>
        <w:ind w:hanging="360" w:left="1980"/>
      </w:pPr>
    </w:lvl>
    <w:lvl w:ilvl="2">
      <w:start w:val="1"/>
      <w:numFmt w:val="lowerRoman"/>
      <w:lvlText w:val="%3."/>
      <w:lvlJc w:val="right"/>
      <w:pPr>
        <w:ind w:hanging="180" w:left="2700"/>
      </w:pPr>
    </w:lvl>
    <w:lvl w:ilvl="3">
      <w:start w:val="1"/>
      <w:numFmt w:val="decimal"/>
      <w:lvlText w:val="%4."/>
      <w:lvlJc w:val="left"/>
      <w:pPr>
        <w:ind w:hanging="360" w:left="3420"/>
      </w:pPr>
    </w:lvl>
    <w:lvl w:ilvl="4">
      <w:start w:val="1"/>
      <w:numFmt w:val="lowerLetter"/>
      <w:lvlText w:val="%5."/>
      <w:lvlJc w:val="left"/>
      <w:pPr>
        <w:ind w:hanging="360" w:left="4140"/>
      </w:pPr>
    </w:lvl>
    <w:lvl w:ilvl="5">
      <w:start w:val="1"/>
      <w:numFmt w:val="lowerRoman"/>
      <w:lvlText w:val="%6."/>
      <w:lvlJc w:val="right"/>
      <w:pPr>
        <w:ind w:hanging="180" w:left="4860"/>
      </w:pPr>
    </w:lvl>
    <w:lvl w:ilvl="6">
      <w:start w:val="1"/>
      <w:numFmt w:val="decimal"/>
      <w:lvlText w:val="%7."/>
      <w:lvlJc w:val="left"/>
      <w:pPr>
        <w:ind w:hanging="360" w:left="5580"/>
      </w:pPr>
    </w:lvl>
    <w:lvl w:ilvl="7">
      <w:start w:val="1"/>
      <w:numFmt w:val="lowerLetter"/>
      <w:lvlText w:val="%8."/>
      <w:lvlJc w:val="left"/>
      <w:pPr>
        <w:ind w:hanging="360" w:left="6300"/>
      </w:pPr>
    </w:lvl>
    <w:lvl w:ilvl="8">
      <w:start w:val="1"/>
      <w:numFmt w:val="lowerRoman"/>
      <w:lvlText w:val="%9."/>
      <w:lvlJc w:val="right"/>
      <w:pPr>
        <w:ind w:hanging="180" w:left="7020"/>
      </w:pPr>
    </w:lvl>
  </w:abstractNum>
  <w:abstractNum w:abstractNumId="4">
    <w:lvl w:ilvl="0">
      <w:start w:val="1"/>
      <w:numFmt w:val="decimal"/>
      <w:lvlText w:val="%1)"/>
      <w:lvlJc w:val="left"/>
      <w:pPr>
        <w:ind w:hanging="360" w:left="1260"/>
      </w:pPr>
    </w:lvl>
    <w:lvl w:ilvl="1">
      <w:start w:val="1"/>
      <w:numFmt w:val="lowerLetter"/>
      <w:lvlText w:val="%2."/>
      <w:lvlJc w:val="left"/>
      <w:pPr>
        <w:ind w:hanging="360" w:left="1980"/>
      </w:pPr>
    </w:lvl>
    <w:lvl w:ilvl="2">
      <w:start w:val="1"/>
      <w:numFmt w:val="lowerRoman"/>
      <w:lvlText w:val="%3."/>
      <w:lvlJc w:val="right"/>
      <w:pPr>
        <w:ind w:hanging="180" w:left="2700"/>
      </w:pPr>
    </w:lvl>
    <w:lvl w:ilvl="3">
      <w:start w:val="1"/>
      <w:numFmt w:val="decimal"/>
      <w:lvlText w:val="%4."/>
      <w:lvlJc w:val="left"/>
      <w:pPr>
        <w:ind w:hanging="360" w:left="3420"/>
      </w:pPr>
    </w:lvl>
    <w:lvl w:ilvl="4">
      <w:start w:val="1"/>
      <w:numFmt w:val="lowerLetter"/>
      <w:lvlText w:val="%5."/>
      <w:lvlJc w:val="left"/>
      <w:pPr>
        <w:ind w:hanging="360" w:left="4140"/>
      </w:pPr>
    </w:lvl>
    <w:lvl w:ilvl="5">
      <w:start w:val="1"/>
      <w:numFmt w:val="lowerRoman"/>
      <w:lvlText w:val="%6."/>
      <w:lvlJc w:val="right"/>
      <w:pPr>
        <w:ind w:hanging="180" w:left="4860"/>
      </w:pPr>
    </w:lvl>
    <w:lvl w:ilvl="6">
      <w:start w:val="1"/>
      <w:numFmt w:val="decimal"/>
      <w:lvlText w:val="%7."/>
      <w:lvlJc w:val="left"/>
      <w:pPr>
        <w:ind w:hanging="360" w:left="5580"/>
      </w:pPr>
    </w:lvl>
    <w:lvl w:ilvl="7">
      <w:start w:val="1"/>
      <w:numFmt w:val="lowerLetter"/>
      <w:lvlText w:val="%8."/>
      <w:lvlJc w:val="left"/>
      <w:pPr>
        <w:ind w:hanging="360" w:left="6300"/>
      </w:pPr>
    </w:lvl>
    <w:lvl w:ilvl="8">
      <w:start w:val="1"/>
      <w:numFmt w:val="lowerRoman"/>
      <w:lvlText w:val="%9."/>
      <w:lvlJc w:val="right"/>
      <w:pPr>
        <w:ind w:hanging="180" w:left="7020"/>
      </w:pPr>
    </w:lvl>
  </w:abstractNum>
  <w:abstractNum w:abstractNumId="5">
    <w:lvl w:ilvl="0">
      <w:start w:val="1"/>
      <w:numFmt w:val="bullet"/>
      <w:lvlText w:val=""/>
      <w:lvlJc w:val="left"/>
      <w:pPr>
        <w:ind w:hanging="360" w:left="12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hanging="360" w:left="198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hanging="360" w:left="270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hanging="360" w:left="342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hanging="360" w:left="414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hanging="360" w:left="48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hanging="360" w:left="558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hanging="360" w:left="630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hanging="360" w:left="7020"/>
      </w:pPr>
      <w:rPr>
        <w:rFonts w:ascii="Wingdings" w:hAnsi="Wingdings"/>
      </w:rPr>
    </w:lvl>
  </w:abstractNum>
  <w:abstractNum w:abstractNumId="6">
    <w:lvl w:ilvl="0">
      <w:start w:val="1"/>
      <w:numFmt w:val="decimal"/>
      <w:lvlText w:val="%1)"/>
      <w:lvlJc w:val="left"/>
      <w:pPr>
        <w:ind w:hanging="360" w:left="1260"/>
      </w:pPr>
    </w:lvl>
    <w:lvl w:ilvl="1">
      <w:start w:val="1"/>
      <w:numFmt w:val="lowerLetter"/>
      <w:lvlText w:val="%2."/>
      <w:lvlJc w:val="left"/>
      <w:pPr>
        <w:ind w:hanging="360" w:left="1980"/>
      </w:pPr>
    </w:lvl>
    <w:lvl w:ilvl="2">
      <w:start w:val="1"/>
      <w:numFmt w:val="lowerRoman"/>
      <w:lvlText w:val="%3."/>
      <w:lvlJc w:val="right"/>
      <w:pPr>
        <w:ind w:hanging="180" w:left="2700"/>
      </w:pPr>
    </w:lvl>
    <w:lvl w:ilvl="3">
      <w:start w:val="1"/>
      <w:numFmt w:val="decimal"/>
      <w:lvlText w:val="%4."/>
      <w:lvlJc w:val="left"/>
      <w:pPr>
        <w:ind w:hanging="360" w:left="3420"/>
      </w:pPr>
    </w:lvl>
    <w:lvl w:ilvl="4">
      <w:start w:val="1"/>
      <w:numFmt w:val="lowerLetter"/>
      <w:lvlText w:val="%5."/>
      <w:lvlJc w:val="left"/>
      <w:pPr>
        <w:ind w:hanging="360" w:left="4140"/>
      </w:pPr>
    </w:lvl>
    <w:lvl w:ilvl="5">
      <w:start w:val="1"/>
      <w:numFmt w:val="lowerRoman"/>
      <w:lvlText w:val="%6."/>
      <w:lvlJc w:val="right"/>
      <w:pPr>
        <w:ind w:hanging="180" w:left="4860"/>
      </w:pPr>
    </w:lvl>
    <w:lvl w:ilvl="6">
      <w:start w:val="1"/>
      <w:numFmt w:val="decimal"/>
      <w:lvlText w:val="%7."/>
      <w:lvlJc w:val="left"/>
      <w:pPr>
        <w:ind w:hanging="360" w:left="5580"/>
      </w:pPr>
    </w:lvl>
    <w:lvl w:ilvl="7">
      <w:start w:val="1"/>
      <w:numFmt w:val="lowerLetter"/>
      <w:lvlText w:val="%8."/>
      <w:lvlJc w:val="left"/>
      <w:pPr>
        <w:ind w:hanging="360" w:left="6300"/>
      </w:pPr>
    </w:lvl>
    <w:lvl w:ilvl="8">
      <w:start w:val="1"/>
      <w:numFmt w:val="lowerRoman"/>
      <w:lvlText w:val="%9."/>
      <w:lvlJc w:val="right"/>
      <w:pPr>
        <w:ind w:hanging="180" w:left="7020"/>
      </w:pPr>
    </w:lvl>
  </w:abstractNum>
  <w:abstractNum w:abstractNumId="7">
    <w:lvl w:ilvl="0">
      <w:start w:val="1"/>
      <w:numFmt w:val="decimal"/>
      <w:lvlText w:val="%1)"/>
      <w:lvlJc w:val="left"/>
      <w:pPr>
        <w:ind w:hanging="360" w:left="1260"/>
      </w:pPr>
    </w:lvl>
    <w:lvl w:ilvl="1">
      <w:start w:val="1"/>
      <w:numFmt w:val="lowerLetter"/>
      <w:lvlText w:val="%2."/>
      <w:lvlJc w:val="left"/>
      <w:pPr>
        <w:ind w:hanging="360" w:left="1980"/>
      </w:pPr>
    </w:lvl>
    <w:lvl w:ilvl="2">
      <w:start w:val="1"/>
      <w:numFmt w:val="lowerRoman"/>
      <w:lvlText w:val="%3."/>
      <w:lvlJc w:val="right"/>
      <w:pPr>
        <w:ind w:hanging="180" w:left="2700"/>
      </w:pPr>
    </w:lvl>
    <w:lvl w:ilvl="3">
      <w:start w:val="1"/>
      <w:numFmt w:val="decimal"/>
      <w:lvlText w:val="%4."/>
      <w:lvlJc w:val="left"/>
      <w:pPr>
        <w:ind w:hanging="360" w:left="3420"/>
      </w:pPr>
    </w:lvl>
    <w:lvl w:ilvl="4">
      <w:start w:val="1"/>
      <w:numFmt w:val="lowerLetter"/>
      <w:lvlText w:val="%5."/>
      <w:lvlJc w:val="left"/>
      <w:pPr>
        <w:ind w:hanging="360" w:left="4140"/>
      </w:pPr>
    </w:lvl>
    <w:lvl w:ilvl="5">
      <w:start w:val="1"/>
      <w:numFmt w:val="lowerRoman"/>
      <w:lvlText w:val="%6."/>
      <w:lvlJc w:val="right"/>
      <w:pPr>
        <w:ind w:hanging="180" w:left="4860"/>
      </w:pPr>
    </w:lvl>
    <w:lvl w:ilvl="6">
      <w:start w:val="1"/>
      <w:numFmt w:val="decimal"/>
      <w:lvlText w:val="%7."/>
      <w:lvlJc w:val="left"/>
      <w:pPr>
        <w:ind w:hanging="360" w:left="5580"/>
      </w:pPr>
    </w:lvl>
    <w:lvl w:ilvl="7">
      <w:start w:val="1"/>
      <w:numFmt w:val="lowerLetter"/>
      <w:lvlText w:val="%8."/>
      <w:lvlJc w:val="left"/>
      <w:pPr>
        <w:ind w:hanging="360" w:left="6300"/>
      </w:pPr>
    </w:lvl>
    <w:lvl w:ilvl="8">
      <w:start w:val="1"/>
      <w:numFmt w:val="lowerRoman"/>
      <w:lvlText w:val="%9."/>
      <w:lvlJc w:val="right"/>
      <w:pPr>
        <w:ind w:hanging="180" w:left="7020"/>
      </w:pPr>
    </w:lvl>
  </w:abstractNum>
  <w:abstractNum w:abstractNumId="8">
    <w:lvl w:ilvl="0">
      <w:start w:val="1"/>
      <w:numFmt w:val="decimal"/>
      <w:lvlText w:val="%1)"/>
      <w:pPr>
        <w:ind w:hanging="360" w:left="720"/>
      </w:pPr>
    </w:lvl>
    <w:lvl w:ilvl="1">
      <w:start w:val="1"/>
      <w:numFmt w:val="russianLower"/>
      <w:lvlText w:val="%2)"/>
      <w:pPr>
        <w:ind w:hanging="360" w:left="1440"/>
      </w:pPr>
    </w:lvl>
    <w:lvl w:ilvl="2">
      <w:start w:val="1"/>
      <w:numFmt w:val="lowerRoman"/>
      <w:lvlText w:val="%3)"/>
      <w:lvlJc w:val="right"/>
      <w:pPr>
        <w:ind w:hanging="360" w:left="2160"/>
      </w:pPr>
    </w:lvl>
    <w:lvl w:ilvl="3">
      <w:start w:val="1"/>
      <w:numFmt w:val="decimal"/>
      <w:lvlText w:val="%4)"/>
      <w:pPr>
        <w:ind w:hanging="360" w:left="2880"/>
      </w:pPr>
    </w:lvl>
    <w:lvl w:ilvl="4">
      <w:start w:val="1"/>
      <w:numFmt w:val="russianLower"/>
      <w:lvlText w:val="%5)"/>
      <w:pPr>
        <w:ind w:hanging="360" w:left="3600"/>
      </w:pPr>
    </w:lvl>
    <w:lvl w:ilvl="5">
      <w:start w:val="1"/>
      <w:numFmt w:val="lowerRoman"/>
      <w:lvlText w:val="%6)"/>
      <w:lvlJc w:val="right"/>
      <w:pPr>
        <w:ind w:hanging="360" w:left="4320"/>
      </w:pPr>
    </w:lvl>
    <w:lvl w:ilvl="6">
      <w:start w:val="1"/>
      <w:numFmt w:val="decimal"/>
      <w:lvlText w:val="%7."/>
      <w:pPr>
        <w:ind w:hanging="360" w:left="5040"/>
      </w:pPr>
    </w:lvl>
    <w:lvl w:ilvl="7">
      <w:start w:val="1"/>
      <w:numFmt w:val="russianLower"/>
      <w:lvlText w:val="%8."/>
      <w:pPr>
        <w:ind w:hanging="360" w:left="5760"/>
      </w:pPr>
    </w:lvl>
    <w:lvl w:ilvl="8">
      <w:start w:val="1"/>
      <w:numFmt w:val="lowerRoman"/>
      <w:lvlText w:val="%9."/>
      <w:lvlJc w:val="right"/>
      <w:pPr>
        <w:ind w:hanging="360" w:left="6480"/>
      </w:pPr>
    </w:lvl>
  </w:abstractNum>
  <w:abstractNum w:abstractNumId="9">
    <w:lvl w:ilvl="0">
      <w:start w:val="1"/>
      <w:numFmt w:val="decimal"/>
      <w:lvlText w:val="%1)"/>
      <w:lvlJc w:val="left"/>
      <w:pPr>
        <w:ind w:hanging="360" w:left="1637"/>
      </w:pPr>
    </w:lvl>
    <w:lvl w:ilvl="1">
      <w:start w:val="1"/>
      <w:numFmt w:val="lowerLetter"/>
      <w:lvlText w:val="%2."/>
      <w:lvlJc w:val="left"/>
      <w:pPr>
        <w:ind w:hanging="360" w:left="1440"/>
      </w:pPr>
    </w:lvl>
    <w:lvl w:ilvl="2">
      <w:start w:val="1"/>
      <w:numFmt w:val="lowerRoman"/>
      <w:lvlText w:val="%3."/>
      <w:lvlJc w:val="right"/>
      <w:pPr>
        <w:ind w:hanging="180" w:left="2160"/>
      </w:pPr>
    </w:lvl>
    <w:lvl w:ilvl="3">
      <w:start w:val="1"/>
      <w:numFmt w:val="decimal"/>
      <w:lvlText w:val="%4."/>
      <w:lvlJc w:val="left"/>
      <w:pPr>
        <w:ind w:hanging="360" w:left="2880"/>
      </w:pPr>
    </w:lvl>
    <w:lvl w:ilvl="4">
      <w:start w:val="1"/>
      <w:numFmt w:val="lowerLetter"/>
      <w:lvlText w:val="%5."/>
      <w:lvlJc w:val="left"/>
      <w:pPr>
        <w:ind w:hanging="360" w:left="3600"/>
      </w:pPr>
    </w:lvl>
    <w:lvl w:ilvl="5">
      <w:start w:val="1"/>
      <w:numFmt w:val="lowerRoman"/>
      <w:lvlText w:val="%6."/>
      <w:lvlJc w:val="right"/>
      <w:pPr>
        <w:ind w:hanging="180" w:left="4320"/>
      </w:pPr>
    </w:lvl>
    <w:lvl w:ilvl="6">
      <w:start w:val="1"/>
      <w:numFmt w:val="decimal"/>
      <w:lvlText w:val="%7."/>
      <w:lvlJc w:val="left"/>
      <w:pPr>
        <w:ind w:hanging="360" w:left="5040"/>
      </w:pPr>
    </w:lvl>
    <w:lvl w:ilvl="7">
      <w:start w:val="1"/>
      <w:numFmt w:val="lowerLetter"/>
      <w:lvlText w:val="%8."/>
      <w:lvlJc w:val="left"/>
      <w:pPr>
        <w:ind w:hanging="360" w:left="5760"/>
      </w:pPr>
    </w:lvl>
    <w:lvl w:ilvl="8">
      <w:start w:val="1"/>
      <w:numFmt w:val="lowerRoman"/>
      <w:lvlText w:val="%9."/>
      <w:lvlJc w:val="right"/>
      <w:pPr>
        <w:ind w:hanging="180" w:left="6480"/>
      </w:pPr>
    </w:lvl>
  </w:abstractNum>
  <w:abstractNum w:abstractNumId="10">
    <w:lvl w:ilvl="0">
      <w:start w:val="1"/>
      <w:numFmt w:val="decimal"/>
      <w:lvlText w:val="%1)"/>
      <w:lvlJc w:val="left"/>
      <w:pPr>
        <w:ind w:hanging="360" w:left="1069"/>
      </w:pPr>
    </w:lvl>
    <w:lvl w:ilvl="1">
      <w:start w:val="1"/>
      <w:numFmt w:val="lowerLetter"/>
      <w:lvlText w:val="%2."/>
      <w:lvlJc w:val="left"/>
      <w:pPr>
        <w:ind w:hanging="360" w:left="1789"/>
      </w:pPr>
    </w:lvl>
    <w:lvl w:ilvl="2">
      <w:start w:val="1"/>
      <w:numFmt w:val="lowerRoman"/>
      <w:lvlText w:val="%3."/>
      <w:lvlJc w:val="right"/>
      <w:pPr>
        <w:ind w:hanging="180" w:left="2509"/>
      </w:pPr>
    </w:lvl>
    <w:lvl w:ilvl="3">
      <w:start w:val="1"/>
      <w:numFmt w:val="decimal"/>
      <w:lvlText w:val="%4."/>
      <w:lvlJc w:val="left"/>
      <w:pPr>
        <w:ind w:hanging="360" w:left="3229"/>
      </w:pPr>
    </w:lvl>
    <w:lvl w:ilvl="4">
      <w:start w:val="1"/>
      <w:numFmt w:val="lowerLetter"/>
      <w:lvlText w:val="%5."/>
      <w:lvlJc w:val="left"/>
      <w:pPr>
        <w:ind w:hanging="360" w:left="3949"/>
      </w:pPr>
    </w:lvl>
    <w:lvl w:ilvl="5">
      <w:start w:val="1"/>
      <w:numFmt w:val="lowerRoman"/>
      <w:lvlText w:val="%6."/>
      <w:lvlJc w:val="right"/>
      <w:pPr>
        <w:ind w:hanging="180" w:left="4669"/>
      </w:pPr>
    </w:lvl>
    <w:lvl w:ilvl="6">
      <w:start w:val="1"/>
      <w:numFmt w:val="decimal"/>
      <w:lvlText w:val="%7."/>
      <w:lvlJc w:val="left"/>
      <w:pPr>
        <w:ind w:hanging="360" w:left="5389"/>
      </w:pPr>
    </w:lvl>
    <w:lvl w:ilvl="7">
      <w:start w:val="1"/>
      <w:numFmt w:val="lowerLetter"/>
      <w:lvlText w:val="%8."/>
      <w:lvlJc w:val="left"/>
      <w:pPr>
        <w:ind w:hanging="360" w:left="6109"/>
      </w:pPr>
    </w:lvl>
    <w:lvl w:ilvl="8">
      <w:start w:val="1"/>
      <w:numFmt w:val="lowerRoman"/>
      <w:lvlText w:val="%9."/>
      <w:lvlJc w:val="right"/>
      <w:pPr>
        <w:ind w:hanging="180" w:left="6829"/>
      </w:pPr>
    </w:lvl>
  </w:abstractNum>
  <w:abstractNum w:abstractNumId="11">
    <w:lvl w:ilvl="0">
      <w:start w:val="1"/>
      <w:numFmt w:val="bullet"/>
      <w:lvlText w:val=""/>
      <w:lvlJc w:val="left"/>
      <w:pPr>
        <w:tabs>
          <w:tab w:leader="none" w:pos="1968" w:val="left"/>
        </w:tabs>
        <w:ind w:hanging="360" w:left="1968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leader="none" w:pos="2148" w:val="left"/>
        </w:tabs>
        <w:ind w:hanging="360" w:left="2148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leader="none" w:pos="2868" w:val="left"/>
        </w:tabs>
        <w:ind w:hanging="360" w:left="2868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leader="none" w:pos="3588" w:val="left"/>
        </w:tabs>
        <w:ind w:hanging="360" w:left="3588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leader="none" w:pos="4308" w:val="left"/>
        </w:tabs>
        <w:ind w:hanging="360" w:left="4308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leader="none" w:pos="5028" w:val="left"/>
        </w:tabs>
        <w:ind w:hanging="360" w:left="5028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leader="none" w:pos="5748" w:val="left"/>
        </w:tabs>
        <w:ind w:hanging="360" w:left="5748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leader="none" w:pos="6468" w:val="left"/>
        </w:tabs>
        <w:ind w:hanging="360" w:left="6468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leader="none" w:pos="7188" w:val="left"/>
        </w:tabs>
        <w:ind w:hanging="360" w:left="7188"/>
      </w:pPr>
      <w:rPr>
        <w:rFonts w:ascii="Wingdings" w:hAnsi="Wingdings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</w:numbering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8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Times New Roman" w:hAnsi="Times New Roman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4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7" w:type="paragraph">
    <w:name w:val="Normal"/>
    <w:link w:val="Style_7_ch"/>
    <w:uiPriority w:val="0"/>
    <w:qFormat/>
    <w:rPr>
      <w:sz w:val="24"/>
    </w:rPr>
  </w:style>
  <w:style w:default="1" w:styleId="Style_7_ch" w:type="character">
    <w:name w:val="Normal"/>
    <w:link w:val="Style_7"/>
    <w:rPr>
      <w:sz w:val="24"/>
    </w:rPr>
  </w:style>
  <w:style w:styleId="Style_8" w:type="paragraph">
    <w:name w:val="toc 2"/>
    <w:next w:val="Style_7"/>
    <w:link w:val="Style_8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8_ch" w:type="character">
    <w:name w:val="toc 2"/>
    <w:link w:val="Style_8"/>
    <w:rPr>
      <w:rFonts w:ascii="XO Thames" w:hAnsi="XO Thames"/>
      <w:sz w:val="28"/>
    </w:rPr>
  </w:style>
  <w:style w:styleId="Style_9" w:type="paragraph">
    <w:name w:val="toc 4"/>
    <w:next w:val="Style_7"/>
    <w:link w:val="Style_9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9_ch" w:type="character">
    <w:name w:val="toc 4"/>
    <w:link w:val="Style_9"/>
    <w:rPr>
      <w:rFonts w:ascii="XO Thames" w:hAnsi="XO Thames"/>
      <w:sz w:val="28"/>
    </w:rPr>
  </w:style>
  <w:style w:styleId="Style_10" w:type="paragraph">
    <w:name w:val="Normal (Web)"/>
    <w:basedOn w:val="Style_7"/>
    <w:link w:val="Style_10_ch"/>
    <w:pPr>
      <w:spacing w:afterAutospacing="on" w:beforeAutospacing="on"/>
      <w:ind/>
    </w:pPr>
  </w:style>
  <w:style w:styleId="Style_10_ch" w:type="character">
    <w:name w:val="Normal (Web)"/>
    <w:basedOn w:val="Style_7_ch"/>
    <w:link w:val="Style_10"/>
  </w:style>
  <w:style w:styleId="Style_11" w:type="paragraph">
    <w:name w:val="Body Text Indent"/>
    <w:basedOn w:val="Style_7"/>
    <w:link w:val="Style_11_ch"/>
    <w:pPr>
      <w:spacing w:after="120"/>
      <w:ind w:firstLine="0" w:left="283"/>
    </w:pPr>
  </w:style>
  <w:style w:styleId="Style_11_ch" w:type="character">
    <w:name w:val="Body Text Indent"/>
    <w:basedOn w:val="Style_7_ch"/>
    <w:link w:val="Style_11"/>
  </w:style>
  <w:style w:styleId="Style_12" w:type="paragraph">
    <w:name w:val="toc 6"/>
    <w:next w:val="Style_7"/>
    <w:link w:val="Style_12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12_ch" w:type="character">
    <w:name w:val="toc 6"/>
    <w:link w:val="Style_12"/>
    <w:rPr>
      <w:rFonts w:ascii="XO Thames" w:hAnsi="XO Thames"/>
      <w:sz w:val="28"/>
    </w:rPr>
  </w:style>
  <w:style w:styleId="Style_13" w:type="paragraph">
    <w:name w:val="toc 7"/>
    <w:next w:val="Style_7"/>
    <w:link w:val="Style_13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13_ch" w:type="character">
    <w:name w:val="toc 7"/>
    <w:link w:val="Style_13"/>
    <w:rPr>
      <w:rFonts w:ascii="XO Thames" w:hAnsi="XO Thames"/>
      <w:sz w:val="28"/>
    </w:rPr>
  </w:style>
  <w:style w:styleId="Style_14" w:type="paragraph">
    <w:name w:val="heading 3"/>
    <w:basedOn w:val="Style_7"/>
    <w:next w:val="Style_7"/>
    <w:link w:val="Style_14_ch"/>
    <w:uiPriority w:val="9"/>
    <w:qFormat/>
    <w:pPr>
      <w:keepNext w:val="1"/>
      <w:keepLines w:val="1"/>
      <w:spacing w:before="200"/>
      <w:ind/>
      <w:outlineLvl w:val="2"/>
    </w:pPr>
    <w:rPr>
      <w:rFonts w:asciiTheme="majorAscii" w:hAnsiTheme="majorHAnsi"/>
      <w:b w:val="1"/>
      <w:color w:themeColor="accent1" w:val="4F81BD"/>
    </w:rPr>
  </w:style>
  <w:style w:styleId="Style_14_ch" w:type="character">
    <w:name w:val="heading 3"/>
    <w:basedOn w:val="Style_7_ch"/>
    <w:link w:val="Style_14"/>
    <w:rPr>
      <w:rFonts w:asciiTheme="majorAscii" w:hAnsiTheme="majorHAnsi"/>
      <w:b w:val="1"/>
      <w:color w:themeColor="accent1" w:val="4F81BD"/>
    </w:rPr>
  </w:style>
  <w:style w:styleId="Style_15" w:type="paragraph">
    <w:name w:val="Знак1"/>
    <w:basedOn w:val="Style_7"/>
    <w:link w:val="Style_15_ch"/>
    <w:pPr>
      <w:spacing w:after="160" w:line="240" w:lineRule="exact"/>
      <w:ind/>
    </w:pPr>
    <w:rPr>
      <w:rFonts w:ascii="Verdana" w:hAnsi="Verdana"/>
      <w:sz w:val="20"/>
    </w:rPr>
  </w:style>
  <w:style w:styleId="Style_15_ch" w:type="character">
    <w:name w:val="Знак1"/>
    <w:basedOn w:val="Style_7_ch"/>
    <w:link w:val="Style_15"/>
    <w:rPr>
      <w:rFonts w:ascii="Verdana" w:hAnsi="Verdana"/>
      <w:sz w:val="20"/>
    </w:rPr>
  </w:style>
  <w:style w:styleId="Style_16" w:type="paragraph">
    <w:name w:val="blk"/>
    <w:basedOn w:val="Style_17"/>
    <w:link w:val="Style_16_ch"/>
  </w:style>
  <w:style w:styleId="Style_16_ch" w:type="character">
    <w:name w:val="blk"/>
    <w:basedOn w:val="Style_17_ch"/>
    <w:link w:val="Style_16"/>
  </w:style>
  <w:style w:styleId="Style_18" w:type="paragraph">
    <w:name w:val="Body Text Indent 2"/>
    <w:basedOn w:val="Style_7"/>
    <w:link w:val="Style_18_ch"/>
    <w:pPr>
      <w:spacing w:after="120" w:line="480" w:lineRule="auto"/>
      <w:ind w:firstLine="0" w:left="283"/>
    </w:pPr>
  </w:style>
  <w:style w:styleId="Style_18_ch" w:type="character">
    <w:name w:val="Body Text Indent 2"/>
    <w:basedOn w:val="Style_7_ch"/>
    <w:link w:val="Style_18"/>
  </w:style>
  <w:style w:styleId="Style_19" w:type="paragraph">
    <w:name w:val="toc 3"/>
    <w:next w:val="Style_7"/>
    <w:link w:val="Style_19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9_ch" w:type="character">
    <w:name w:val="toc 3"/>
    <w:link w:val="Style_19"/>
    <w:rPr>
      <w:rFonts w:ascii="XO Thames" w:hAnsi="XO Thames"/>
      <w:sz w:val="28"/>
    </w:rPr>
  </w:style>
  <w:style w:styleId="Style_20" w:type="paragraph">
    <w:name w:val="nobr"/>
    <w:basedOn w:val="Style_17"/>
    <w:link w:val="Style_20_ch"/>
  </w:style>
  <w:style w:styleId="Style_20_ch" w:type="character">
    <w:name w:val="nobr"/>
    <w:basedOn w:val="Style_17_ch"/>
    <w:link w:val="Style_20"/>
  </w:style>
  <w:style w:styleId="Style_21" w:type="paragraph">
    <w:name w:val="Таблицы (моноширинный)"/>
    <w:basedOn w:val="Style_7"/>
    <w:next w:val="Style_7"/>
    <w:link w:val="Style_21_ch"/>
    <w:pPr>
      <w:widowControl w:val="0"/>
      <w:ind/>
      <w:jc w:val="both"/>
    </w:pPr>
    <w:rPr>
      <w:rFonts w:ascii="Courier New" w:hAnsi="Courier New"/>
      <w:sz w:val="28"/>
    </w:rPr>
  </w:style>
  <w:style w:styleId="Style_21_ch" w:type="character">
    <w:name w:val="Таблицы (моноширинный)"/>
    <w:basedOn w:val="Style_7_ch"/>
    <w:link w:val="Style_21"/>
    <w:rPr>
      <w:rFonts w:ascii="Courier New" w:hAnsi="Courier New"/>
      <w:sz w:val="28"/>
    </w:rPr>
  </w:style>
  <w:style w:styleId="Style_22" w:type="paragraph">
    <w:name w:val="Default"/>
    <w:link w:val="Style_22_ch"/>
    <w:rPr>
      <w:color w:val="000000"/>
      <w:sz w:val="24"/>
    </w:rPr>
  </w:style>
  <w:style w:styleId="Style_22_ch" w:type="character">
    <w:name w:val="Default"/>
    <w:link w:val="Style_22"/>
    <w:rPr>
      <w:color w:val="000000"/>
      <w:sz w:val="24"/>
    </w:rPr>
  </w:style>
  <w:style w:styleId="Style_23" w:type="paragraph">
    <w:name w:val="Стиль3 Знак"/>
    <w:basedOn w:val="Style_18"/>
    <w:link w:val="Style_23_ch"/>
    <w:pPr>
      <w:widowControl w:val="0"/>
      <w:tabs>
        <w:tab w:leader="none" w:pos="968" w:val="left"/>
      </w:tabs>
      <w:spacing w:after="0" w:line="240" w:lineRule="auto"/>
      <w:ind w:firstLine="0" w:left="741"/>
      <w:jc w:val="both"/>
    </w:pPr>
  </w:style>
  <w:style w:styleId="Style_23_ch" w:type="character">
    <w:name w:val="Стиль3 Знак"/>
    <w:basedOn w:val="Style_18_ch"/>
    <w:link w:val="Style_23"/>
  </w:style>
  <w:style w:styleId="Style_2" w:type="paragraph">
    <w:name w:val="ConsPlusTitle"/>
    <w:link w:val="Style_2_ch"/>
    <w:pPr>
      <w:widowControl w:val="0"/>
      <w:ind/>
    </w:pPr>
    <w:rPr>
      <w:rFonts w:ascii="Arial" w:hAnsi="Arial"/>
      <w:b w:val="1"/>
    </w:rPr>
  </w:style>
  <w:style w:styleId="Style_2_ch" w:type="character">
    <w:name w:val="ConsPlusTitle"/>
    <w:link w:val="Style_2"/>
    <w:rPr>
      <w:rFonts w:ascii="Arial" w:hAnsi="Arial"/>
      <w:b w:val="1"/>
    </w:rPr>
  </w:style>
  <w:style w:styleId="Style_24" w:type="paragraph">
    <w:name w:val="heading 5"/>
    <w:next w:val="Style_7"/>
    <w:link w:val="Style_24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24_ch" w:type="character">
    <w:name w:val="heading 5"/>
    <w:link w:val="Style_24"/>
    <w:rPr>
      <w:rFonts w:ascii="XO Thames" w:hAnsi="XO Thames"/>
      <w:b w:val="1"/>
      <w:sz w:val="22"/>
    </w:rPr>
  </w:style>
  <w:style w:styleId="Style_25" w:type="paragraph">
    <w:name w:val="Strong"/>
    <w:basedOn w:val="Style_17"/>
    <w:link w:val="Style_25_ch"/>
    <w:rPr>
      <w:b w:val="1"/>
    </w:rPr>
  </w:style>
  <w:style w:styleId="Style_25_ch" w:type="character">
    <w:name w:val="Strong"/>
    <w:basedOn w:val="Style_17_ch"/>
    <w:link w:val="Style_25"/>
    <w:rPr>
      <w:b w:val="1"/>
    </w:rPr>
  </w:style>
  <w:style w:styleId="Style_26" w:type="paragraph">
    <w:name w:val="heading 1"/>
    <w:basedOn w:val="Style_7"/>
    <w:next w:val="Style_7"/>
    <w:link w:val="Style_26_ch"/>
    <w:uiPriority w:val="9"/>
    <w:qFormat/>
    <w:pPr>
      <w:keepNext w:val="1"/>
      <w:ind/>
      <w:jc w:val="center"/>
      <w:outlineLvl w:val="0"/>
    </w:pPr>
    <w:rPr>
      <w:b w:val="1"/>
      <w:sz w:val="28"/>
    </w:rPr>
  </w:style>
  <w:style w:styleId="Style_26_ch" w:type="character">
    <w:name w:val="heading 1"/>
    <w:basedOn w:val="Style_7_ch"/>
    <w:link w:val="Style_26"/>
    <w:rPr>
      <w:b w:val="1"/>
      <w:sz w:val="28"/>
    </w:rPr>
  </w:style>
  <w:style w:styleId="Style_27" w:type="paragraph">
    <w:name w:val="footer"/>
    <w:basedOn w:val="Style_7"/>
    <w:link w:val="Style_27_ch"/>
    <w:pPr>
      <w:tabs>
        <w:tab w:leader="none" w:pos="4677" w:val="center"/>
        <w:tab w:leader="none" w:pos="9355" w:val="right"/>
      </w:tabs>
      <w:ind/>
    </w:pPr>
  </w:style>
  <w:style w:styleId="Style_27_ch" w:type="character">
    <w:name w:val="footer"/>
    <w:basedOn w:val="Style_7_ch"/>
    <w:link w:val="Style_27"/>
  </w:style>
  <w:style w:styleId="Style_28" w:type="paragraph">
    <w:name w:val="footnote reference"/>
    <w:link w:val="Style_28_ch"/>
    <w:rPr>
      <w:vertAlign w:val="superscript"/>
    </w:rPr>
  </w:style>
  <w:style w:styleId="Style_28_ch" w:type="character">
    <w:name w:val="footnote reference"/>
    <w:link w:val="Style_28"/>
    <w:rPr>
      <w:vertAlign w:val="superscript"/>
    </w:rPr>
  </w:style>
  <w:style w:styleId="Style_4" w:type="paragraph">
    <w:name w:val="Hyperlink"/>
    <w:link w:val="Style_4_ch"/>
    <w:rPr>
      <w:color w:val="0000FF"/>
      <w:u w:val="single"/>
    </w:rPr>
  </w:style>
  <w:style w:styleId="Style_4_ch" w:type="character">
    <w:name w:val="Hyperlink"/>
    <w:link w:val="Style_4"/>
    <w:rPr>
      <w:color w:val="0000FF"/>
      <w:u w:val="single"/>
    </w:rPr>
  </w:style>
  <w:style w:styleId="Style_29" w:type="paragraph">
    <w:name w:val="Footnote"/>
    <w:basedOn w:val="Style_7"/>
    <w:link w:val="Style_29_ch"/>
    <w:rPr>
      <w:sz w:val="20"/>
    </w:rPr>
  </w:style>
  <w:style w:styleId="Style_29_ch" w:type="character">
    <w:name w:val="Footnote"/>
    <w:basedOn w:val="Style_7_ch"/>
    <w:link w:val="Style_29"/>
    <w:rPr>
      <w:sz w:val="20"/>
    </w:rPr>
  </w:style>
  <w:style w:styleId="Style_30" w:type="paragraph">
    <w:name w:val="toc 1"/>
    <w:next w:val="Style_7"/>
    <w:link w:val="Style_30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30_ch" w:type="character">
    <w:name w:val="toc 1"/>
    <w:link w:val="Style_30"/>
    <w:rPr>
      <w:rFonts w:ascii="XO Thames" w:hAnsi="XO Thames"/>
      <w:b w:val="1"/>
      <w:sz w:val="28"/>
    </w:rPr>
  </w:style>
  <w:style w:styleId="Style_31" w:type="paragraph">
    <w:name w:val="Header and Footer"/>
    <w:link w:val="Style_31_ch"/>
    <w:pPr>
      <w:spacing w:line="240" w:lineRule="auto"/>
      <w:ind/>
      <w:jc w:val="both"/>
    </w:pPr>
    <w:rPr>
      <w:rFonts w:ascii="XO Thames" w:hAnsi="XO Thames"/>
      <w:sz w:val="20"/>
    </w:rPr>
  </w:style>
  <w:style w:styleId="Style_31_ch" w:type="character">
    <w:name w:val="Header and Footer"/>
    <w:link w:val="Style_31"/>
    <w:rPr>
      <w:rFonts w:ascii="XO Thames" w:hAnsi="XO Thames"/>
      <w:sz w:val="20"/>
    </w:rPr>
  </w:style>
  <w:style w:styleId="Style_5" w:type="paragraph">
    <w:name w:val="ConsPlusNormal"/>
    <w:link w:val="Style_5_ch"/>
    <w:pPr>
      <w:widowControl w:val="0"/>
      <w:ind/>
    </w:pPr>
    <w:rPr>
      <w:rFonts w:ascii="Calibri" w:hAnsi="Calibri"/>
      <w:sz w:val="22"/>
    </w:rPr>
  </w:style>
  <w:style w:styleId="Style_5_ch" w:type="character">
    <w:name w:val="ConsPlusNormal"/>
    <w:link w:val="Style_5"/>
    <w:rPr>
      <w:rFonts w:ascii="Calibri" w:hAnsi="Calibri"/>
      <w:sz w:val="22"/>
    </w:rPr>
  </w:style>
  <w:style w:styleId="Style_1" w:type="paragraph">
    <w:name w:val="header"/>
    <w:basedOn w:val="Style_7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7_ch"/>
    <w:link w:val="Style_1"/>
  </w:style>
  <w:style w:styleId="Style_32" w:type="paragraph">
    <w:name w:val="Unresolved Mention"/>
    <w:basedOn w:val="Style_17"/>
    <w:link w:val="Style_32_ch"/>
    <w:rPr>
      <w:color w:val="605E5C"/>
      <w:shd w:fill="E1DFDD" w:val="clear"/>
    </w:rPr>
  </w:style>
  <w:style w:styleId="Style_32_ch" w:type="character">
    <w:name w:val="Unresolved Mention"/>
    <w:basedOn w:val="Style_17_ch"/>
    <w:link w:val="Style_32"/>
    <w:rPr>
      <w:color w:val="605E5C"/>
      <w:shd w:fill="E1DFDD" w:val="clear"/>
    </w:rPr>
  </w:style>
  <w:style w:styleId="Style_3" w:type="paragraph">
    <w:name w:val="List Paragraph"/>
    <w:basedOn w:val="Style_7"/>
    <w:link w:val="Style_3_ch"/>
    <w:pPr>
      <w:ind w:firstLine="0" w:left="720"/>
      <w:contextualSpacing w:val="1"/>
    </w:pPr>
  </w:style>
  <w:style w:styleId="Style_3_ch" w:type="character">
    <w:name w:val="List Paragraph"/>
    <w:basedOn w:val="Style_7_ch"/>
    <w:link w:val="Style_3"/>
  </w:style>
  <w:style w:styleId="Style_33" w:type="paragraph">
    <w:name w:val="toc 9"/>
    <w:next w:val="Style_7"/>
    <w:link w:val="Style_33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33_ch" w:type="character">
    <w:name w:val="toc 9"/>
    <w:link w:val="Style_33"/>
    <w:rPr>
      <w:rFonts w:ascii="XO Thames" w:hAnsi="XO Thames"/>
      <w:sz w:val="28"/>
    </w:rPr>
  </w:style>
  <w:style w:styleId="Style_34" w:type="paragraph">
    <w:name w:val="page number"/>
    <w:basedOn w:val="Style_17"/>
    <w:link w:val="Style_34_ch"/>
  </w:style>
  <w:style w:styleId="Style_34_ch" w:type="character">
    <w:name w:val="page number"/>
    <w:basedOn w:val="Style_17_ch"/>
    <w:link w:val="Style_34"/>
  </w:style>
  <w:style w:styleId="Style_35" w:type="paragraph">
    <w:name w:val="Абзац списка1"/>
    <w:basedOn w:val="Style_7"/>
    <w:link w:val="Style_35_ch"/>
    <w:pPr>
      <w:spacing w:after="200" w:line="276" w:lineRule="auto"/>
      <w:ind w:firstLine="0" w:left="720"/>
      <w:contextualSpacing w:val="1"/>
    </w:pPr>
    <w:rPr>
      <w:rFonts w:ascii="Calibri" w:hAnsi="Calibri"/>
      <w:sz w:val="22"/>
    </w:rPr>
  </w:style>
  <w:style w:styleId="Style_35_ch" w:type="character">
    <w:name w:val="Абзац списка1"/>
    <w:basedOn w:val="Style_7_ch"/>
    <w:link w:val="Style_35"/>
    <w:rPr>
      <w:rFonts w:ascii="Calibri" w:hAnsi="Calibri"/>
      <w:sz w:val="22"/>
    </w:rPr>
  </w:style>
  <w:style w:styleId="Style_36" w:type="paragraph">
    <w:name w:val="toc 8"/>
    <w:next w:val="Style_7"/>
    <w:link w:val="Style_36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36_ch" w:type="character">
    <w:name w:val="toc 8"/>
    <w:link w:val="Style_36"/>
    <w:rPr>
      <w:rFonts w:ascii="XO Thames" w:hAnsi="XO Thames"/>
      <w:sz w:val="28"/>
    </w:rPr>
  </w:style>
  <w:style w:styleId="Style_37" w:type="paragraph">
    <w:name w:val="Balloon Text"/>
    <w:basedOn w:val="Style_7"/>
    <w:link w:val="Style_37_ch"/>
    <w:rPr>
      <w:rFonts w:ascii="Tahoma" w:hAnsi="Tahoma"/>
      <w:sz w:val="16"/>
    </w:rPr>
  </w:style>
  <w:style w:styleId="Style_37_ch" w:type="character">
    <w:name w:val="Balloon Text"/>
    <w:basedOn w:val="Style_7_ch"/>
    <w:link w:val="Style_37"/>
    <w:rPr>
      <w:rFonts w:ascii="Tahoma" w:hAnsi="Tahoma"/>
      <w:sz w:val="16"/>
    </w:rPr>
  </w:style>
  <w:style w:styleId="Style_38" w:type="paragraph">
    <w:name w:val="Основной текст (2)"/>
    <w:basedOn w:val="Style_7"/>
    <w:link w:val="Style_38_ch"/>
    <w:pPr>
      <w:widowControl w:val="0"/>
      <w:spacing w:line="408" w:lineRule="exact"/>
      <w:ind/>
      <w:jc w:val="both"/>
    </w:pPr>
    <w:rPr>
      <w:sz w:val="20"/>
    </w:rPr>
  </w:style>
  <w:style w:styleId="Style_38_ch" w:type="character">
    <w:name w:val="Основной текст (2)"/>
    <w:basedOn w:val="Style_7_ch"/>
    <w:link w:val="Style_38"/>
    <w:rPr>
      <w:sz w:val="20"/>
    </w:rPr>
  </w:style>
  <w:style w:styleId="Style_39" w:type="paragraph">
    <w:name w:val="toc 5"/>
    <w:next w:val="Style_7"/>
    <w:link w:val="Style_39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39_ch" w:type="character">
    <w:name w:val="toc 5"/>
    <w:link w:val="Style_39"/>
    <w:rPr>
      <w:rFonts w:ascii="XO Thames" w:hAnsi="XO Thames"/>
      <w:sz w:val="28"/>
    </w:rPr>
  </w:style>
  <w:style w:styleId="Style_40" w:type="paragraph">
    <w:name w:val="FR1"/>
    <w:link w:val="Style_40_ch"/>
    <w:pPr>
      <w:widowControl w:val="0"/>
      <w:spacing w:before="3960" w:line="300" w:lineRule="auto"/>
      <w:ind/>
      <w:jc w:val="center"/>
    </w:pPr>
    <w:rPr>
      <w:b w:val="1"/>
      <w:sz w:val="56"/>
    </w:rPr>
  </w:style>
  <w:style w:styleId="Style_40_ch" w:type="character">
    <w:name w:val="FR1"/>
    <w:link w:val="Style_40"/>
    <w:rPr>
      <w:b w:val="1"/>
      <w:sz w:val="56"/>
    </w:rPr>
  </w:style>
  <w:style w:styleId="Style_17" w:type="paragraph">
    <w:name w:val="Default Paragraph Font"/>
    <w:link w:val="Style_17_ch"/>
  </w:style>
  <w:style w:styleId="Style_17_ch" w:type="character">
    <w:name w:val="Default Paragraph Font"/>
    <w:link w:val="Style_17"/>
  </w:style>
  <w:style w:styleId="Style_41" w:type="paragraph">
    <w:name w:val="Subtitle"/>
    <w:next w:val="Style_7"/>
    <w:link w:val="Style_41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41_ch" w:type="character">
    <w:name w:val="Subtitle"/>
    <w:link w:val="Style_41"/>
    <w:rPr>
      <w:rFonts w:ascii="XO Thames" w:hAnsi="XO Thames"/>
      <w:i w:val="1"/>
      <w:sz w:val="24"/>
    </w:rPr>
  </w:style>
  <w:style w:styleId="Style_42" w:type="paragraph">
    <w:name w:val="Title"/>
    <w:next w:val="Style_7"/>
    <w:link w:val="Style_42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42_ch" w:type="character">
    <w:name w:val="Title"/>
    <w:link w:val="Style_42"/>
    <w:rPr>
      <w:rFonts w:ascii="XO Thames" w:hAnsi="XO Thames"/>
      <w:b w:val="1"/>
      <w:caps w:val="1"/>
      <w:sz w:val="40"/>
    </w:rPr>
  </w:style>
  <w:style w:styleId="Style_43" w:type="paragraph">
    <w:name w:val="heading 4"/>
    <w:next w:val="Style_7"/>
    <w:link w:val="Style_43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43_ch" w:type="character">
    <w:name w:val="heading 4"/>
    <w:link w:val="Style_43"/>
    <w:rPr>
      <w:rFonts w:ascii="XO Thames" w:hAnsi="XO Thames"/>
      <w:b w:val="1"/>
      <w:sz w:val="24"/>
    </w:rPr>
  </w:style>
  <w:style w:styleId="Style_44" w:type="paragraph">
    <w:name w:val="Body Text 3"/>
    <w:basedOn w:val="Style_7"/>
    <w:link w:val="Style_44_ch"/>
    <w:pPr>
      <w:ind/>
      <w:jc w:val="both"/>
    </w:pPr>
  </w:style>
  <w:style w:styleId="Style_44_ch" w:type="character">
    <w:name w:val="Body Text 3"/>
    <w:basedOn w:val="Style_7_ch"/>
    <w:link w:val="Style_44"/>
  </w:style>
  <w:style w:styleId="Style_45" w:type="paragraph">
    <w:name w:val="heading 2"/>
    <w:basedOn w:val="Style_7"/>
    <w:next w:val="Style_7"/>
    <w:link w:val="Style_45_ch"/>
    <w:uiPriority w:val="9"/>
    <w:qFormat/>
    <w:pPr>
      <w:keepNext w:val="1"/>
      <w:spacing w:after="60" w:before="240"/>
      <w:ind/>
      <w:outlineLvl w:val="1"/>
    </w:pPr>
    <w:rPr>
      <w:rFonts w:ascii="Arial" w:hAnsi="Arial"/>
      <w:b w:val="1"/>
      <w:i w:val="1"/>
      <w:sz w:val="28"/>
    </w:rPr>
  </w:style>
  <w:style w:styleId="Style_45_ch" w:type="character">
    <w:name w:val="heading 2"/>
    <w:basedOn w:val="Style_7_ch"/>
    <w:link w:val="Style_45"/>
    <w:rPr>
      <w:rFonts w:ascii="Arial" w:hAnsi="Arial"/>
      <w:b w:val="1"/>
      <w:i w:val="1"/>
      <w:sz w:val="28"/>
    </w:rPr>
  </w:style>
  <w:style w:styleId="Style_46" w:type="paragraph">
    <w:name w:val="Body Text"/>
    <w:basedOn w:val="Style_7"/>
    <w:link w:val="Style_46_ch"/>
    <w:pPr>
      <w:ind/>
      <w:jc w:val="both"/>
    </w:pPr>
    <w:rPr>
      <w:b w:val="1"/>
    </w:rPr>
  </w:style>
  <w:style w:styleId="Style_46_ch" w:type="character">
    <w:name w:val="Body Text"/>
    <w:basedOn w:val="Style_7_ch"/>
    <w:link w:val="Style_46"/>
    <w:rPr>
      <w:b w:val="1"/>
    </w:rPr>
  </w:style>
  <w:style w:styleId="Style_47" w:type="table">
    <w:name w:val="Table Grid"/>
    <w:basedOn w:val="Style_6"/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  <w:insideV w:color="000000" w:sz="4" w:val="single"/>
      </w:tblBorders>
    </w:tblPr>
  </w:style>
  <w:style w:default="1" w:styleId="Style_6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10" Target="numbering.xml" Type="http://schemas.openxmlformats.org/officeDocument/2006/relationships/numbering"/>
  <Relationship Id="rId9" Target="theme/theme1.xml" Type="http://schemas.openxmlformats.org/officeDocument/2006/relationships/theme"/>
  <Relationship Id="rId8" Target="webSettings.xml" Type="http://schemas.openxmlformats.org/officeDocument/2006/relationships/webSettings"/>
  <Relationship Id="rId7" Target="stylesWithEffects.xml" Type="http://schemas.microsoft.com/office/2007/relationships/stylesWithEffects"/>
  <Relationship Id="rId6" Target="styles.xml" Type="http://schemas.openxmlformats.org/officeDocument/2006/relationships/styles"/>
  <Relationship Id="rId5" Target="settings.xml" Type="http://schemas.openxmlformats.org/officeDocument/2006/relationships/settings"/>
  <Relationship Id="rId4" Target="fontTable.xml" Type="http://schemas.openxmlformats.org/officeDocument/2006/relationships/fontTable"/>
  <Relationship Id="rId3" Target="media/2.png" Type="http://schemas.openxmlformats.org/officeDocument/2006/relationships/image"/>
  <Relationship Id="rId2" Target="media/1.png" Type="http://schemas.openxmlformats.org/officeDocument/2006/relationships/image"/>
  <Relationship Id="rId1" Target="header1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MyOffice-CoreFramework-Linux/28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2023-12-19T01:27:14Z</dcterms:modified>
</cp:coreProperties>
</file>