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media/image2.png" ContentType="image/png"/>
  <Override PartName="/word/media/image3.png" ContentType="image/png"/>
  <Override PartName="/word/media/image1.png" ContentType="image/pn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669" w:right="0" w:hanging="0"/>
        <w:rPr>
          <w:sz w:val="28"/>
        </w:rPr>
      </w:pPr>
      <w:r>
        <w:rPr>
          <w:sz w:val="28"/>
        </w:rPr>
        <w:t>Приложение 2 к приказу</w:t>
      </w:r>
    </w:p>
    <w:p>
      <w:pPr>
        <w:pStyle w:val="Normal"/>
        <w:ind w:left="5669" w:right="0" w:hanging="0"/>
        <w:rPr>
          <w:sz w:val="28"/>
        </w:rPr>
      </w:pPr>
      <w:r>
        <w:rPr>
          <w:sz w:val="28"/>
        </w:rPr>
        <w:t>Министерства природных ресурсов</w:t>
      </w:r>
    </w:p>
    <w:p>
      <w:pPr>
        <w:pStyle w:val="Normal"/>
        <w:ind w:left="5669" w:right="0" w:hanging="0"/>
        <w:rPr>
          <w:sz w:val="28"/>
        </w:rPr>
      </w:pPr>
      <w:r>
        <w:rPr>
          <w:sz w:val="28"/>
        </w:rPr>
        <w:t>и экологии Камчатского края</w:t>
      </w:r>
    </w:p>
    <w:p>
      <w:pPr>
        <w:pStyle w:val="Normal"/>
        <w:ind w:left="5669" w:right="0" w:hanging="0"/>
        <w:rPr>
          <w:sz w:val="27"/>
        </w:rPr>
      </w:pPr>
      <w:r>
        <w:rPr>
          <w:sz w:val="28"/>
        </w:rPr>
        <w:t>от [</w:t>
      </w:r>
      <w:r>
        <w:rPr>
          <w:sz w:val="28"/>
        </w:rPr>
        <w:t>28.11.2023</w:t>
      </w:r>
      <w:r>
        <w:rPr>
          <w:sz w:val="28"/>
        </w:rPr>
        <w:t>] № [</w:t>
      </w:r>
      <w:r>
        <w:rPr>
          <w:sz w:val="28"/>
        </w:rPr>
        <w:t>413-П</w:t>
      </w:r>
      <w:r>
        <w:rPr>
          <w:sz w:val="28"/>
        </w:rPr>
        <w:t>]</w:t>
      </w:r>
    </w:p>
    <w:p>
      <w:pPr>
        <w:pStyle w:val="Normal"/>
        <w:jc w:val="center"/>
        <w:rPr>
          <w:sz w:val="28"/>
        </w:rPr>
      </w:pPr>
      <w:r>
        <w:rPr>
          <w:sz w:val="28"/>
        </w:rPr>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r>
    </w:p>
    <w:p>
      <w:pPr>
        <w:pStyle w:val="ConsPlusTitle1"/>
        <w:widowControl/>
        <w:jc w:val="center"/>
        <w:rPr>
          <w:rFonts w:ascii="Times New Roman" w:hAnsi="Times New Roman"/>
          <w:b w:val="false"/>
          <w:b w:val="false"/>
          <w:sz w:val="28"/>
        </w:rPr>
      </w:pPr>
      <w:r>
        <w:rPr>
          <w:rFonts w:ascii="Times New Roman" w:hAnsi="Times New Roman"/>
          <w:b w:val="false"/>
          <w:sz w:val="28"/>
        </w:rPr>
        <w:t>Порядок и условия проведения электронного аукциона</w:t>
      </w:r>
    </w:p>
    <w:p>
      <w:pPr>
        <w:pStyle w:val="ConsPlusTitle1"/>
        <w:widowControl/>
        <w:jc w:val="center"/>
        <w:rPr>
          <w:rFonts w:ascii="Times New Roman" w:hAnsi="Times New Roman"/>
          <w:b w:val="false"/>
          <w:b w:val="false"/>
          <w:sz w:val="28"/>
        </w:rPr>
      </w:pPr>
      <w:r>
        <w:rPr>
          <w:rFonts w:ascii="Times New Roman" w:hAnsi="Times New Roman"/>
          <w:b w:val="false"/>
          <w:sz w:val="28"/>
        </w:rPr>
        <w:t xml:space="preserve">на право пользования участками недр местного значения «Карьер-1», «Карьер-3» </w:t>
      </w:r>
    </w:p>
    <w:p>
      <w:pPr>
        <w:pStyle w:val="ConsPlusTitle1"/>
        <w:widowControl/>
        <w:jc w:val="center"/>
        <w:rPr>
          <w:rFonts w:ascii="Times New Roman" w:hAnsi="Times New Roman"/>
          <w:b w:val="false"/>
          <w:b w:val="false"/>
          <w:sz w:val="28"/>
        </w:rPr>
      </w:pPr>
      <w:r>
        <w:rPr>
          <w:rFonts w:ascii="Times New Roman" w:hAnsi="Times New Roman"/>
          <w:b w:val="false"/>
          <w:sz w:val="28"/>
        </w:rPr>
        <w:t>и «Карьер-4» с целью геологического изучения недр, разведки и добычи вулканических пород на строительный камень</w:t>
      </w:r>
    </w:p>
    <w:p>
      <w:pPr>
        <w:pStyle w:val="ConsPlusTitle1"/>
        <w:widowControl/>
        <w:jc w:val="center"/>
        <w:rPr>
          <w:rFonts w:ascii="Times New Roman" w:hAnsi="Times New Roman"/>
          <w:b w:val="false"/>
          <w:b w:val="false"/>
          <w:sz w:val="28"/>
        </w:rPr>
      </w:pPr>
      <w:r>
        <w:rPr>
          <w:rFonts w:ascii="Times New Roman" w:hAnsi="Times New Roman"/>
          <w:b w:val="false"/>
          <w:sz w:val="28"/>
        </w:rPr>
        <w:t>(далее – Порядок и условия проведения аукциона)</w:t>
      </w:r>
    </w:p>
    <w:p>
      <w:pPr>
        <w:pStyle w:val="ConsPlusTitle1"/>
        <w:widowControl/>
        <w:ind w:left="0" w:right="-284" w:hanging="0"/>
        <w:jc w:val="center"/>
        <w:rPr>
          <w:rFonts w:ascii="Times New Roman" w:hAnsi="Times New Roman"/>
          <w:b w:val="false"/>
          <w:b w:val="false"/>
          <w:color w:val="7030A0"/>
          <w:sz w:val="28"/>
        </w:rPr>
      </w:pPr>
      <w:r>
        <w:rPr>
          <w:rFonts w:ascii="Times New Roman" w:hAnsi="Times New Roman"/>
          <w:b w:val="false"/>
          <w:color w:val="7030A0"/>
          <w:sz w:val="28"/>
        </w:rPr>
      </w:r>
    </w:p>
    <w:p>
      <w:pPr>
        <w:pStyle w:val="Normal"/>
        <w:ind w:left="0" w:right="0" w:firstLine="709"/>
        <w:jc w:val="both"/>
        <w:rPr/>
      </w:pPr>
      <w:r>
        <w:rPr>
          <w:sz w:val="28"/>
        </w:rPr>
        <w:t xml:space="preserve">Министерство природных ресурсов и экологии Камчатского края (далее – Министерство, организатор аукциона, уполномоченный орган) объявляет электронный аукцион на право пользования </w:t>
      </w:r>
      <w:r>
        <w:rPr>
          <w:spacing w:val="-1"/>
          <w:sz w:val="28"/>
        </w:rPr>
        <w:t>участками недр местного значения «Карьер-1», «Карьер-3» и «Карьер-4» с целью геологического изучения недр, разведки и добычи вулканических пород на строительный камень</w:t>
      </w:r>
      <w:r>
        <w:rPr>
          <w:sz w:val="28"/>
        </w:rPr>
        <w:t>,</w:t>
      </w:r>
      <w:r>
        <w:rPr>
          <w:spacing w:val="-1"/>
          <w:sz w:val="28"/>
        </w:rPr>
        <w:t xml:space="preserve"> расположенными на территории Олюторского муниципального района Камчатского края</w:t>
      </w:r>
      <w:r>
        <w:rPr>
          <w:sz w:val="28"/>
        </w:rPr>
        <w:t>.</w:t>
      </w:r>
    </w:p>
    <w:p>
      <w:pPr>
        <w:pStyle w:val="Normal"/>
        <w:ind w:left="0" w:right="0" w:firstLine="709"/>
        <w:jc w:val="both"/>
        <w:rPr>
          <w:sz w:val="28"/>
        </w:rPr>
      </w:pPr>
      <w:r>
        <w:rPr>
          <w:sz w:val="28"/>
        </w:rPr>
      </w:r>
    </w:p>
    <w:p>
      <w:pPr>
        <w:pStyle w:val="Normal"/>
        <w:jc w:val="center"/>
        <w:rPr>
          <w:sz w:val="28"/>
        </w:rPr>
      </w:pPr>
      <w:r>
        <w:rPr>
          <w:sz w:val="28"/>
        </w:rPr>
        <w:t>Общие положения</w:t>
      </w:r>
    </w:p>
    <w:p>
      <w:pPr>
        <w:pStyle w:val="Normal"/>
        <w:jc w:val="center"/>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hyperlink r:id="rId2">
        <w:r>
          <w:rPr>
            <w:sz w:val="28"/>
          </w:rPr>
          <w:t>www.torgi.gov.ru</w:t>
        </w:r>
      </w:hyperlink>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hyperlink r:id="rId3">
        <w:r>
          <w:rPr>
            <w:sz w:val="28"/>
          </w:rPr>
          <w:t>www.etpgpb.ru</w:t>
        </w:r>
      </w:hyperlink>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(14.12.2023; приказ Министерства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pPr>
        <w:pStyle w:val="ListParagraph1"/>
        <w:widowControl w:val="false"/>
        <w:numPr>
          <w:ilvl w:val="0"/>
          <w:numId w:val="2"/>
        </w:numPr>
        <w:tabs>
          <w:tab w:val="clear" w:pos="708"/>
          <w:tab w:val="left" w:pos="1276" w:leader="none"/>
        </w:tabs>
        <w:ind w:left="0" w:right="0" w:firstLine="709"/>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подачу заявителями заявок на участие в аукционе (далее – заявка);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направление организатору аукциона, заявител</w:t>
      </w:r>
      <w:bookmarkStart w:id="0" w:name="_GoBack"/>
      <w:bookmarkEnd w:id="0"/>
      <w:r>
        <w:rPr>
          <w:sz w:val="28"/>
        </w:rPr>
        <w:t>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размещение на электронной площадке информации в соответствии с требованиями Порядка;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ООО ЭТП ГПБ:</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ИНН 7724514910;</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р/сч.: 40702810300000017639;</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кор. сч. 30101810200000000823;</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БИК 044525823 в БАНК ГПБ (АО) г. Москва;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hyperlink w:anchor="P151">
        <w:r>
          <w:rPr>
            <w:sz w:val="28"/>
          </w:rPr>
          <w:t>частями 38</w:t>
        </w:r>
      </w:hyperlink>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хранение электронных документов, связанных с организацией и проведением аукциона не менее 10 лет.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подачи заявок до 17 часов 00 минут (время камчатское) 11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и время проведения аукциона 13 декабря 2023 года в 09 часов 00 минут (время камчатское).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подписания членами аукционной комиссии протокола рассмотрения заявок на участие в аукционе – 12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участками недр местного значения </w:t>
      </w:r>
      <w:r>
        <w:rPr>
          <w:spacing w:val="-1"/>
          <w:sz w:val="28"/>
        </w:rPr>
        <w:t>«Карьер-1», «Карьер-3» и «Карьер-4»</w:t>
      </w:r>
      <w:r>
        <w:rPr>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11 декабря 2023 года (до 17 часов 00 минут).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Адрес электронной почты оператора электронной площадки: </w:t>
      </w:r>
      <w:hyperlink r:id="rId4">
        <w:r>
          <w:rPr>
            <w:sz w:val="28"/>
          </w:rPr>
          <w:t>info@etpgpb.ru</w:t>
        </w:r>
      </w:hyperlink>
      <w:r>
        <w:rPr>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«Карьер-1», «Карьер-3» и «Карьер-4»</w:t>
      </w:r>
      <w:r>
        <w:rPr>
          <w:sz w:val="28"/>
        </w:rPr>
        <w:t xml:space="preserve">.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участками недр местного значения.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Минимальный (стартовый) размер разового платежа за пользование недрами: 779 537 (семьсот семьдесят девять тысяч пятьсот тридцать семь)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pPr>
        <w:pStyle w:val="Normal"/>
        <w:tabs>
          <w:tab w:val="clear" w:pos="708"/>
          <w:tab w:val="left" w:pos="993" w:leader="none"/>
          <w:tab w:val="left" w:pos="1276" w:leader="none"/>
        </w:tabs>
        <w:ind w:left="0" w:right="0" w:firstLine="709"/>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pPr>
        <w:pStyle w:val="Normal"/>
        <w:tabs>
          <w:tab w:val="clear" w:pos="708"/>
          <w:tab w:val="left" w:pos="993" w:leader="none"/>
          <w:tab w:val="left" w:pos="1276" w:leader="none"/>
        </w:tabs>
        <w:ind w:left="0" w:right="0" w:firstLine="709"/>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pPr>
        <w:pStyle w:val="Normal"/>
        <w:tabs>
          <w:tab w:val="clear" w:pos="708"/>
          <w:tab w:val="left" w:pos="993" w:leader="none"/>
          <w:tab w:val="left" w:pos="1276" w:leader="none"/>
        </w:tabs>
        <w:ind w:left="0" w:right="0" w:firstLine="709"/>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77 953,70 (семьдесят семь тысяч девятьсот пятьдесят три) рубля 70 копеек.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задатка за участие в аукционе равен 100% размера минимального (стартового) размера разового платежа за пользование недрами и составляет 779 537 (семьсот семьдесят девять тысяч пятьсот тридцать семь)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Сумма сбора за участие в аукционе составляет 57 099,00</w:t>
      </w:r>
      <w:r>
        <w:rPr>
          <w:b/>
          <w:sz w:val="28"/>
        </w:rPr>
        <w:t xml:space="preserve"> </w:t>
      </w:r>
      <w:r>
        <w:rPr>
          <w:sz w:val="28"/>
        </w:rPr>
        <w:t>(пятьдесят семь тысяч девяносто девять) рублей (приложение 2 к Порядку и условиям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pPr>
        <w:pStyle w:val="Normal"/>
        <w:numPr>
          <w:ilvl w:val="0"/>
          <w:numId w:val="0"/>
        </w:numPr>
        <w:ind w:left="0" w:right="0" w:firstLine="709"/>
        <w:outlineLvl w:val="0"/>
        <w:rPr/>
      </w:pPr>
      <w:r>
        <w:rPr>
          <w:sz w:val="28"/>
        </w:rPr>
        <w:t>Получатель</w:t>
      </w:r>
      <w:r>
        <w:rPr>
          <w:b/>
          <w:sz w:val="28"/>
        </w:rPr>
        <w:t>:</w:t>
      </w:r>
      <w:r>
        <w:rPr>
          <w:sz w:val="28"/>
        </w:rPr>
        <w:t xml:space="preserve"> УФК по Камчатскому краю (Министерство природных ресурсов и экологии Камчатского края 04382000990)</w:t>
      </w:r>
    </w:p>
    <w:p>
      <w:pPr>
        <w:pStyle w:val="Normal"/>
        <w:numPr>
          <w:ilvl w:val="0"/>
          <w:numId w:val="0"/>
        </w:numPr>
        <w:ind w:left="709" w:right="0" w:hanging="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pPr>
        <w:pStyle w:val="Normal"/>
        <w:numPr>
          <w:ilvl w:val="0"/>
          <w:numId w:val="0"/>
        </w:numPr>
        <w:ind w:left="709" w:right="0" w:hanging="0"/>
        <w:outlineLvl w:val="0"/>
        <w:rPr>
          <w:sz w:val="28"/>
        </w:rPr>
      </w:pPr>
      <w:r>
        <w:rPr>
          <w:sz w:val="28"/>
        </w:rPr>
        <w:t>Казначейский счет (бывший расчетный счет):03100643000000013800</w:t>
      </w:r>
    </w:p>
    <w:p>
      <w:pPr>
        <w:pStyle w:val="Normal"/>
        <w:ind w:left="709" w:right="0" w:hanging="0"/>
        <w:rPr/>
      </w:pPr>
      <w:r>
        <w:rPr>
          <w:sz w:val="28"/>
        </w:rPr>
        <w:t>Единый казначейский счет (к/сч)</w:t>
      </w:r>
      <w:r>
        <w:rPr>
          <w:spacing w:val="-2"/>
          <w:sz w:val="28"/>
        </w:rPr>
        <w:t>: 40102810945370000031</w:t>
      </w:r>
    </w:p>
    <w:p>
      <w:pPr>
        <w:pStyle w:val="Normal"/>
        <w:ind w:left="709" w:right="0" w:hanging="0"/>
        <w:rPr>
          <w:sz w:val="28"/>
        </w:rPr>
      </w:pPr>
      <w:r>
        <w:rPr>
          <w:sz w:val="28"/>
        </w:rPr>
        <w:t>БИК 013002402</w:t>
      </w:r>
    </w:p>
    <w:p>
      <w:pPr>
        <w:pStyle w:val="Normal"/>
        <w:ind w:left="709" w:right="0" w:hanging="0"/>
        <w:jc w:val="both"/>
        <w:rPr>
          <w:sz w:val="28"/>
        </w:rPr>
      </w:pPr>
      <w:r>
        <w:rPr>
          <w:sz w:val="28"/>
        </w:rPr>
        <w:t xml:space="preserve">КБК 808 1 08 07082 01 1000 110 </w:t>
      </w:r>
    </w:p>
    <w:p>
      <w:pPr>
        <w:pStyle w:val="Normal"/>
        <w:ind w:left="709" w:right="0" w:hanging="0"/>
        <w:rPr>
          <w:sz w:val="28"/>
        </w:rPr>
      </w:pPr>
      <w:r>
        <w:rPr>
          <w:sz w:val="28"/>
        </w:rPr>
        <w:t>ИНН 4101120894; КПП 410101001</w:t>
      </w:r>
    </w:p>
    <w:p>
      <w:pPr>
        <w:pStyle w:val="Normal"/>
        <w:ind w:left="709" w:right="0" w:hanging="0"/>
        <w:rPr/>
      </w:pPr>
      <w:r>
        <w:rPr>
          <w:sz w:val="28"/>
        </w:rPr>
        <w:t>ОКТМО</w:t>
      </w:r>
      <w:r>
        <w:rPr>
          <w:b/>
          <w:sz w:val="28"/>
        </w:rPr>
        <w:t xml:space="preserve"> </w:t>
      </w:r>
      <w:r>
        <w:rPr>
          <w:sz w:val="28"/>
        </w:rPr>
        <w:t>30701000.</w:t>
      </w:r>
    </w:p>
    <w:p>
      <w:pPr>
        <w:pStyle w:val="ListParagraph1"/>
        <w:tabs>
          <w:tab w:val="clear" w:pos="708"/>
          <w:tab w:val="left" w:pos="993" w:leader="none"/>
          <w:tab w:val="left" w:pos="1276" w:leader="none"/>
        </w:tabs>
        <w:ind w:left="0" w:right="0" w:firstLine="709"/>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«Карьер-1» «Карьер-3» и «Карьер-4» </w:t>
      </w:r>
      <w:r>
        <w:rPr>
          <w:sz w:val="28"/>
        </w:rPr>
        <w:t>с целью геологического изучения недр, разведки и добычи вулканических пород на строительный камень путем оформления и выдачи лицензии на пользование недрами сроком на 20 лет.</w:t>
      </w:r>
    </w:p>
    <w:p>
      <w:pPr>
        <w:pStyle w:val="Normal"/>
        <w:ind w:left="0" w:right="0" w:firstLine="709"/>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техническими средствами.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pPr>
        <w:pStyle w:val="Normal"/>
        <w:widowControl w:val="false"/>
        <w:tabs>
          <w:tab w:val="clear" w:pos="708"/>
          <w:tab w:val="left" w:pos="1134" w:leader="none"/>
        </w:tabs>
        <w:ind w:left="0" w:right="0" w:firstLine="539"/>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pPr>
        <w:pStyle w:val="Normal"/>
        <w:widowControl w:val="false"/>
        <w:tabs>
          <w:tab w:val="clear" w:pos="708"/>
          <w:tab w:val="left" w:pos="1134" w:leader="none"/>
        </w:tabs>
        <w:ind w:left="0" w:right="0" w:firstLine="539"/>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pPr>
        <w:pStyle w:val="ListParagraph1"/>
        <w:tabs>
          <w:tab w:val="clear" w:pos="708"/>
          <w:tab w:val="left" w:pos="993" w:leader="none"/>
          <w:tab w:val="left" w:pos="1276" w:leader="none"/>
        </w:tabs>
        <w:ind w:left="0" w:right="0" w:firstLine="709"/>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pPr>
        <w:pStyle w:val="ListParagraph1"/>
        <w:numPr>
          <w:ilvl w:val="0"/>
          <w:numId w:val="1"/>
        </w:numPr>
        <w:tabs>
          <w:tab w:val="clear" w:pos="708"/>
          <w:tab w:val="left" w:pos="1134" w:leader="none"/>
          <w:tab w:val="left" w:pos="1418" w:leader="none"/>
        </w:tabs>
        <w:ind w:left="0" w:right="0" w:firstLine="709"/>
        <w:jc w:val="both"/>
        <w:rPr>
          <w:sz w:val="28"/>
        </w:rPr>
      </w:pPr>
      <w:r>
        <w:rPr>
          <w:sz w:val="28"/>
        </w:rPr>
        <w:t>Аукцион признается несостоявшимся в следующих случаях:</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отсутствие заявок на участие в аукционе;</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 участие в аукционе зарегистрирована одна заявка;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к участию в аукционе не допущены все заявители;</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r>
        <w:br w:type="page"/>
      </w:r>
    </w:p>
    <w:p>
      <w:pPr>
        <w:pStyle w:val="Normal"/>
        <w:jc w:val="center"/>
        <w:rPr>
          <w:sz w:val="28"/>
        </w:rPr>
      </w:pPr>
      <w:r>
        <w:rPr>
          <w:sz w:val="28"/>
        </w:rPr>
        <w:t>Регламент работы аукционной комиссии</w:t>
      </w:r>
    </w:p>
    <w:p>
      <w:pPr>
        <w:pStyle w:val="Normal"/>
        <w:tabs>
          <w:tab w:val="clear" w:pos="708"/>
          <w:tab w:val="left" w:pos="993" w:leader="none"/>
          <w:tab w:val="left" w:pos="1276" w:leader="none"/>
        </w:tabs>
        <w:jc w:val="both"/>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pPr>
        <w:pStyle w:val="Normal"/>
        <w:tabs>
          <w:tab w:val="clear" w:pos="708"/>
          <w:tab w:val="left" w:pos="1276" w:leader="none"/>
        </w:tabs>
        <w:ind w:left="0" w:right="0" w:firstLine="709"/>
        <w:jc w:val="both"/>
        <w:rPr>
          <w:sz w:val="28"/>
        </w:rPr>
      </w:pPr>
      <w:r>
        <w:rPr>
          <w:sz w:val="28"/>
        </w:rPr>
        <w:t>Решение об изменении состава аукционной комиссии принимается уполномоченным органом.</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pPr>
        <w:pStyle w:val="ListParagraph1"/>
        <w:tabs>
          <w:tab w:val="clear" w:pos="708"/>
          <w:tab w:val="left" w:pos="993" w:leader="none"/>
          <w:tab w:val="left" w:pos="1276" w:leader="none"/>
        </w:tabs>
        <w:ind w:left="0" w:right="0" w:firstLine="709"/>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pPr>
        <w:pStyle w:val="ConsPlusNormal1"/>
        <w:ind w:left="0" w:right="0" w:firstLine="708"/>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pPr>
        <w:pStyle w:val="Normal"/>
        <w:jc w:val="center"/>
        <w:rPr>
          <w:sz w:val="28"/>
        </w:rPr>
      </w:pPr>
      <w:r>
        <w:rPr>
          <w:sz w:val="28"/>
        </w:rPr>
      </w:r>
    </w:p>
    <w:p>
      <w:pPr>
        <w:pStyle w:val="Normal"/>
        <w:jc w:val="center"/>
        <w:rPr>
          <w:sz w:val="28"/>
        </w:rPr>
      </w:pPr>
      <w:r>
        <w:rPr>
          <w:sz w:val="28"/>
        </w:rPr>
        <w:t xml:space="preserve">Порядок подачи заявок </w:t>
      </w:r>
    </w:p>
    <w:p>
      <w:pPr>
        <w:pStyle w:val="Normal"/>
        <w:rPr>
          <w:color w:val="C9211E"/>
          <w:sz w:val="28"/>
        </w:rPr>
      </w:pPr>
      <w:r>
        <w:rPr>
          <w:color w:val="C9211E"/>
          <w:sz w:val="28"/>
        </w:rPr>
      </w:r>
      <w:bookmarkStart w:id="2" w:name="P133"/>
      <w:bookmarkStart w:id="3" w:name="P133"/>
      <w:bookmarkEnd w:id="3"/>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4" w:name="P151"/>
      <w:bookmarkEnd w:id="4"/>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участками недр, засчитывается в счет окончательного размера разового платежа за пользование недрами.</w:t>
      </w:r>
    </w:p>
    <w:p>
      <w:pPr>
        <w:pStyle w:val="Normal"/>
        <w:widowControl w:val="false"/>
        <w:ind w:left="0" w:right="0" w:firstLine="709"/>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участками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pPr>
        <w:pStyle w:val="Normal"/>
        <w:widowControl w:val="false"/>
        <w:ind w:left="0" w:right="0" w:firstLine="709"/>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pPr>
        <w:pStyle w:val="Normal"/>
        <w:widowControl w:val="false"/>
        <w:ind w:left="0" w:right="0" w:firstLine="709"/>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pPr>
        <w:pStyle w:val="ListParagraph1"/>
        <w:tabs>
          <w:tab w:val="clear" w:pos="708"/>
          <w:tab w:val="left" w:pos="993" w:leader="none"/>
          <w:tab w:val="left" w:pos="1276" w:leader="none"/>
        </w:tabs>
        <w:ind w:left="0" w:right="0" w:firstLine="737"/>
        <w:jc w:val="both"/>
        <w:rPr>
          <w:sz w:val="28"/>
        </w:rPr>
      </w:pPr>
      <w:r>
        <w:rPr>
          <w:sz w:val="28"/>
        </w:rPr>
        <w:t>Сбор за участие в аукционе возвращается заявителю в следующем порядке: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hyperlink r:id="rId5">
        <w:r>
          <w:rPr>
            <w:sz w:val="28"/>
          </w:rPr>
          <w:t>статьей 242.1</w:t>
        </w:r>
      </w:hyperlink>
      <w:r>
        <w:rPr>
          <w:sz w:val="28"/>
        </w:rPr>
        <w:t xml:space="preserve"> Бюджетного кодекса Российской Федерации.</w:t>
      </w:r>
    </w:p>
    <w:p>
      <w:pPr>
        <w:pStyle w:val="ListParagraph1"/>
        <w:numPr>
          <w:ilvl w:val="0"/>
          <w:numId w:val="1"/>
        </w:numPr>
        <w:tabs>
          <w:tab w:val="clear" w:pos="708"/>
          <w:tab w:val="left" w:pos="993" w:leader="none"/>
          <w:tab w:val="left" w:pos="1134" w:leader="none"/>
        </w:tabs>
        <w:ind w:left="0" w:right="0" w:firstLine="709"/>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справка с указанием следующих сведений:</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решение уполномоченного органа управления заявителя об участии в аукционе;</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5" w:name="P173"/>
      <w:bookmarkEnd w:id="5"/>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6" w:name="P175"/>
      <w:bookmarkEnd w:id="6"/>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hyperlink r:id="rId6">
        <w:r>
          <w:rPr>
            <w:sz w:val="28"/>
          </w:rPr>
          <w:t>статьей 157</w:t>
        </w:r>
      </w:hyperlink>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7" w:name="P177"/>
      <w:bookmarkEnd w:id="7"/>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hyperlink r:id="rId7">
        <w:r>
          <w:rPr>
            <w:sz w:val="28"/>
          </w:rPr>
          <w:t>статьей 157</w:t>
        </w:r>
      </w:hyperlink>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8" w:name="P178"/>
      <w:bookmarkEnd w:id="8"/>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hyperlink r:id="rId8">
        <w:r>
          <w:rPr>
            <w:sz w:val="28"/>
          </w:rPr>
          <w:t>статьей 157</w:t>
        </w:r>
      </w:hyperlink>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планируется проводить с привлечением юридических или физических лиц);</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9" w:name="P183"/>
      <w:bookmarkEnd w:id="9"/>
      <w:r>
        <w:rPr>
          <w:sz w:val="28"/>
        </w:rPr>
        <w:t xml:space="preserve">перечень лицензий 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hyperlink r:id="rId9">
        <w:r>
          <w:rPr>
            <w:sz w:val="28"/>
          </w:rPr>
          <w:t>законом</w:t>
        </w:r>
      </w:hyperlink>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сведений, предусмотренных </w:t>
      </w:r>
      <w:hyperlink r:id="rId10">
        <w:r>
          <w:rPr>
            <w:sz w:val="28"/>
          </w:rPr>
          <w:t>частью первой статьи 14.1</w:t>
        </w:r>
      </w:hyperlink>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hyperlink r:id="rId11">
        <w:r>
          <w:rPr>
            <w:sz w:val="28"/>
          </w:rPr>
          <w:t>частью четвертой статьи 40</w:t>
        </w:r>
      </w:hyperlink>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участками недр, действуют в течение календарного года, за исключением документов, предусмотренных </w:t>
      </w:r>
      <w:hyperlink w:anchor="P175">
        <w:r>
          <w:rPr>
            <w:sz w:val="28"/>
          </w:rPr>
          <w:t>абзацами третьим</w:t>
        </w:r>
      </w:hyperlink>
      <w:r>
        <w:rPr>
          <w:sz w:val="28"/>
        </w:rPr>
        <w:t xml:space="preserve"> – </w:t>
      </w:r>
      <w:hyperlink w:anchor="P177">
        <w:r>
          <w:rPr>
            <w:sz w:val="28"/>
          </w:rPr>
          <w:t xml:space="preserve">пятым пункта 6 части </w:t>
        </w:r>
      </w:hyperlink>
      <w:r>
        <w:rPr>
          <w:sz w:val="28"/>
        </w:rPr>
        <w:t>44 настоящего Порядка.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0" w:name="P191"/>
      <w:bookmarkEnd w:id="10"/>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наличие неотозванной заявки, ранее поданной заявителем для участия в этом же аукционе;</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после дня окончания срока подачи заявок;</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установленных регламентом электронной площадки;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неуплата задатка и сбора за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bookmarkStart w:id="11" w:name="P198"/>
      <w:bookmarkEnd w:id="11"/>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pPr>
        <w:pStyle w:val="ListParagraph1"/>
        <w:tabs>
          <w:tab w:val="clear" w:pos="708"/>
          <w:tab w:val="left" w:pos="993" w:leader="none"/>
          <w:tab w:val="left" w:pos="1276" w:leader="none"/>
        </w:tabs>
        <w:ind w:left="709" w:right="0" w:hanging="0"/>
        <w:jc w:val="both"/>
        <w:rPr>
          <w:color w:val="C9211E"/>
          <w:sz w:val="28"/>
        </w:rPr>
      </w:pPr>
      <w:r>
        <w:rPr>
          <w:color w:val="C9211E"/>
          <w:sz w:val="28"/>
        </w:rPr>
      </w:r>
      <w:r>
        <w:br w:type="page"/>
      </w:r>
    </w:p>
    <w:p>
      <w:pPr>
        <w:pStyle w:val="Normal"/>
        <w:jc w:val="center"/>
        <w:rPr>
          <w:sz w:val="28"/>
        </w:rPr>
      </w:pPr>
      <w:r>
        <w:rPr>
          <w:sz w:val="28"/>
        </w:rPr>
        <w:t xml:space="preserve">Порядок рассмотрения заявок и оформления протокола рассмотрения </w:t>
      </w:r>
    </w:p>
    <w:p>
      <w:pPr>
        <w:pStyle w:val="Normal"/>
        <w:jc w:val="center"/>
        <w:rPr>
          <w:sz w:val="28"/>
        </w:rPr>
      </w:pPr>
      <w:r>
        <w:rPr>
          <w:sz w:val="28"/>
        </w:rPr>
        <w:t>заявок на участие в аукционе</w:t>
      </w:r>
    </w:p>
    <w:p>
      <w:pPr>
        <w:pStyle w:val="Normal"/>
        <w:tabs>
          <w:tab w:val="clear" w:pos="708"/>
          <w:tab w:val="left" w:pos="1276" w:leader="none"/>
        </w:tabs>
        <w:jc w:val="both"/>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Рассмотрение заявок и прилагаемых к ним документов на соответствие требованиям </w:t>
      </w:r>
      <w:hyperlink r:id="rId12">
        <w:r>
          <w:rPr>
            <w:sz w:val="28"/>
          </w:rPr>
          <w:t>Закона</w:t>
        </w:r>
      </w:hyperlink>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копии учредительных документов заявителя;</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Отказ в приеме заявки осуществляется по основаниям, предусмотренным </w:t>
      </w:r>
      <w:hyperlink r:id="rId13">
        <w:r>
          <w:rPr>
            <w:sz w:val="28"/>
          </w:rPr>
          <w:t>статьей 14</w:t>
        </w:r>
      </w:hyperlink>
      <w:r>
        <w:rPr>
          <w:sz w:val="28"/>
        </w:rPr>
        <w:t xml:space="preserve"> Закона «О недрах».</w:t>
      </w:r>
    </w:p>
    <w:p>
      <w:pPr>
        <w:pStyle w:val="ListParagraph1"/>
        <w:numPr>
          <w:ilvl w:val="0"/>
          <w:numId w:val="1"/>
        </w:numPr>
        <w:tabs>
          <w:tab w:val="clear" w:pos="708"/>
          <w:tab w:val="left" w:pos="993" w:leader="none"/>
          <w:tab w:val="left" w:pos="1276" w:leader="none"/>
        </w:tabs>
        <w:ind w:left="0" w:right="0" w:firstLine="709"/>
        <w:jc w:val="both"/>
        <w:rPr>
          <w:sz w:val="28"/>
        </w:rPr>
      </w:pPr>
      <w:bookmarkStart w:id="12" w:name="P236"/>
      <w:bookmarkEnd w:id="12"/>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hyperlink w:anchor="P245">
        <w:r>
          <w:rPr>
            <w:sz w:val="28"/>
          </w:rPr>
          <w:t>пунктом 61</w:t>
        </w:r>
      </w:hyperlink>
      <w:r>
        <w:rPr>
          <w:sz w:val="28"/>
        </w:rPr>
        <w:t xml:space="preserve"> или </w:t>
      </w:r>
      <w:hyperlink w:anchor="P255">
        <w:r>
          <w:rPr>
            <w:sz w:val="28"/>
          </w:rPr>
          <w:t>62</w:t>
        </w:r>
      </w:hyperlink>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3" w:name="P255"/>
      <w:bookmarkStart w:id="14" w:name="P245"/>
      <w:bookmarkEnd w:id="13"/>
      <w:bookmarkEnd w:id="14"/>
      <w:r>
        <w:rPr>
          <w:sz w:val="28"/>
        </w:rPr>
        <w:t>Протокол рассмотрения заявок на участие в аукционе размещается не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pPr>
        <w:pStyle w:val="Normal"/>
        <w:tabs>
          <w:tab w:val="clear" w:pos="708"/>
          <w:tab w:val="left" w:pos="1276" w:leader="none"/>
        </w:tabs>
        <w:jc w:val="both"/>
        <w:rPr>
          <w:color w:val="C9211E"/>
          <w:sz w:val="28"/>
        </w:rPr>
      </w:pPr>
      <w:r>
        <w:rPr>
          <w:color w:val="C9211E"/>
          <w:sz w:val="28"/>
        </w:rPr>
      </w:r>
    </w:p>
    <w:p>
      <w:pPr>
        <w:pStyle w:val="Normal"/>
        <w:jc w:val="center"/>
        <w:rPr>
          <w:sz w:val="28"/>
        </w:rPr>
      </w:pPr>
      <w:r>
        <w:rPr>
          <w:sz w:val="28"/>
        </w:rPr>
        <w:t xml:space="preserve">Порядок проведения аукциона и оформления протокола </w:t>
      </w:r>
    </w:p>
    <w:p>
      <w:pPr>
        <w:pStyle w:val="Normal"/>
        <w:jc w:val="center"/>
        <w:rPr>
          <w:sz w:val="28"/>
        </w:rPr>
      </w:pPr>
      <w:r>
        <w:rPr>
          <w:sz w:val="28"/>
        </w:rPr>
        <w:t>о результатах аукциона</w:t>
      </w:r>
    </w:p>
    <w:p>
      <w:pPr>
        <w:pStyle w:val="Normal"/>
        <w:tabs>
          <w:tab w:val="clear" w:pos="708"/>
          <w:tab w:val="left" w:pos="1276" w:leader="none"/>
        </w:tabs>
        <w:jc w:val="both"/>
        <w:rPr>
          <w:sz w:val="28"/>
        </w:rPr>
      </w:pPr>
      <w:r>
        <w:rPr>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 участию в аукционе допускаются заявители, признанные аукционной комиссией участниками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 момента начала проведения аукциона оператором электронной площадки размещаются:</w:t>
      </w:r>
    </w:p>
    <w:p>
      <w:pPr>
        <w:pStyle w:val="Normal"/>
        <w:tabs>
          <w:tab w:val="clear" w:pos="708"/>
          <w:tab w:val="left" w:pos="993" w:leader="none"/>
          <w:tab w:val="left" w:pos="1276" w:leader="none"/>
        </w:tabs>
        <w:ind w:left="0" w:right="0" w:firstLine="709"/>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участков недр, являющихся объектом аукциона, минимального (стартового) размера разового платежа за пользование недрами и «шага аукциона»;</w:t>
      </w:r>
    </w:p>
    <w:p>
      <w:pPr>
        <w:pStyle w:val="Normal"/>
        <w:tabs>
          <w:tab w:val="clear" w:pos="708"/>
          <w:tab w:val="left" w:pos="993" w:leader="none"/>
          <w:tab w:val="left" w:pos="1276" w:leader="none"/>
        </w:tabs>
        <w:ind w:left="0" w:right="0" w:firstLine="709"/>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программно-аппаратными средствами оператора электронной площадки обеспечиваются:</w:t>
      </w:r>
    </w:p>
    <w:p>
      <w:pPr>
        <w:pStyle w:val="Normal"/>
        <w:tabs>
          <w:tab w:val="clear" w:pos="708"/>
          <w:tab w:val="left" w:pos="993" w:leader="none"/>
          <w:tab w:val="left" w:pos="1276" w:leader="none"/>
        </w:tabs>
        <w:ind w:left="0" w:right="0" w:firstLine="709"/>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pPr>
        <w:pStyle w:val="Normal"/>
        <w:tabs>
          <w:tab w:val="clear" w:pos="708"/>
          <w:tab w:val="left" w:pos="993" w:leader="none"/>
          <w:tab w:val="left" w:pos="1276" w:leader="none"/>
        </w:tabs>
        <w:ind w:left="0" w:right="0" w:firstLine="709"/>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5" w:name="P278"/>
      <w:bookmarkEnd w:id="15"/>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соответствии с </w:t>
      </w:r>
      <w:hyperlink r:id="rId14">
        <w:r>
          <w:rPr>
            <w:sz w:val="28"/>
          </w:rPr>
          <w:t>частью тринадцатой статьи 13.1</w:t>
        </w:r>
      </w:hyperlink>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hyperlink w:anchor="P278">
        <w:r>
          <w:rPr>
            <w:sz w:val="28"/>
          </w:rPr>
          <w:t>части 73</w:t>
        </w:r>
      </w:hyperlink>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pPr>
        <w:pStyle w:val="ListParagraph1"/>
        <w:spacing w:before="120" w:after="120"/>
        <w:ind w:left="0" w:right="0" w:hanging="0"/>
        <w:contextualSpacing/>
        <w:jc w:val="center"/>
        <w:rPr>
          <w:sz w:val="28"/>
        </w:rPr>
      </w:pPr>
      <w:r>
        <w:rPr>
          <w:sz w:val="28"/>
        </w:rPr>
      </w:r>
    </w:p>
    <w:p>
      <w:pPr>
        <w:pStyle w:val="ListParagraph1"/>
        <w:spacing w:before="120" w:after="120"/>
        <w:ind w:left="0" w:right="0" w:hanging="0"/>
        <w:contextualSpacing/>
        <w:jc w:val="center"/>
        <w:rPr>
          <w:color w:val="000000"/>
          <w:sz w:val="28"/>
        </w:rPr>
      </w:pPr>
      <w:r>
        <w:rPr>
          <w:color w:val="000000"/>
          <w:sz w:val="28"/>
        </w:rPr>
        <w:t xml:space="preserve">Краткая характеристика участков недр местного значения </w:t>
      </w:r>
    </w:p>
    <w:p>
      <w:pPr>
        <w:pStyle w:val="ListParagraph1"/>
        <w:spacing w:before="120" w:after="120"/>
        <w:ind w:left="0" w:right="0" w:hanging="0"/>
        <w:contextualSpacing/>
        <w:jc w:val="center"/>
        <w:rPr>
          <w:color w:val="000000"/>
        </w:rPr>
      </w:pPr>
      <w:r>
        <w:rPr>
          <w:color w:val="000000"/>
          <w:sz w:val="28"/>
        </w:rPr>
        <w:t>«Карьер-1», Карьер-3» и «Карьер-4»</w:t>
      </w:r>
    </w:p>
    <w:p>
      <w:pPr>
        <w:pStyle w:val="ListParagraph1"/>
        <w:spacing w:before="120" w:after="120"/>
        <w:ind w:left="1429" w:right="0" w:hanging="0"/>
        <w:contextualSpacing/>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w:t>
      </w:r>
    </w:p>
    <w:p>
      <w:pPr>
        <w:pStyle w:val="ListParagraph1"/>
        <w:numPr>
          <w:ilvl w:val="0"/>
          <w:numId w:val="1"/>
        </w:numPr>
        <w:tabs>
          <w:tab w:val="clear" w:pos="708"/>
          <w:tab w:val="left" w:pos="993" w:leader="none"/>
          <w:tab w:val="left" w:pos="1276" w:leader="none"/>
        </w:tabs>
        <w:ind w:left="0" w:right="0" w:firstLine="709"/>
        <w:jc w:val="both"/>
        <w:rPr>
          <w:color w:val="C9211E"/>
          <w:sz w:val="28"/>
        </w:rPr>
      </w:pPr>
      <w:r>
        <w:rPr>
          <w:sz w:val="28"/>
          <w:u w:val="single"/>
        </w:rPr>
        <w:t>Участок недр «Карьер-1»</w:t>
      </w:r>
      <w:r>
        <w:rPr>
          <w:sz w:val="28"/>
        </w:rPr>
        <w:t xml:space="preserve"> расположен в 1,5 км от полигона испытаний склада ВМ АО «Аметистовое». В районе участка недр распространены монцониты Пылгинского габбро-монцонитового комплекса магматических пород среднего-позднего палеогена. Строение массива однородное. В эндоконтактах породы представлены серыми, светло-серыми среднезернистыми разностями, сложенные плагиоклазом (30-70%), калишпатом (5-30%), темноцветными минералами (15-30%) и кварцем (0-5%). В пределах штока монцонитов в 1992 году разведано среднее по запасам Тиличикское месторождение строительного камня (запасы определены в авторском подсчете). Глубина изучения составила 32 м, мощность вскрышных пород в среднем 7,4 м, мощность полезной залежи колеблется от 6,0 до 27,5 м, в среднем составляет 16,4 м. Полезное ископаемое представлено крепкими массивными однородными полнокристаллическими монцонитами. Физико-механические свойства горной породы следующие: объемный вес 2,69 г/см</w:t>
      </w:r>
      <w:r>
        <w:rPr>
          <w:sz w:val="28"/>
          <w:vertAlign w:val="superscript"/>
        </w:rPr>
        <w:t>3</w:t>
      </w:r>
      <w:r>
        <w:rPr>
          <w:sz w:val="28"/>
        </w:rPr>
        <w:t>, удельный вес 2,79 г/см</w:t>
      </w:r>
      <w:r>
        <w:rPr>
          <w:sz w:val="28"/>
          <w:vertAlign w:val="superscript"/>
        </w:rPr>
        <w:t>3</w:t>
      </w:r>
      <w:r>
        <w:rPr>
          <w:sz w:val="28"/>
        </w:rPr>
        <w:t>, водопоглощение 0,9%, пористость 3,4; механическая прочность в воздушно-сухом состоянии 1320 кгс/см</w:t>
      </w:r>
      <w:r>
        <w:rPr>
          <w:sz w:val="28"/>
          <w:vertAlign w:val="superscript"/>
        </w:rPr>
        <w:t>2</w:t>
      </w:r>
      <w:r>
        <w:rPr>
          <w:sz w:val="28"/>
        </w:rPr>
        <w:t>, в водонасыщенном − 1124 кгс/см</w:t>
      </w:r>
      <w:r>
        <w:rPr>
          <w:sz w:val="28"/>
          <w:vertAlign w:val="superscript"/>
        </w:rPr>
        <w:t>2</w:t>
      </w:r>
      <w:r>
        <w:rPr>
          <w:sz w:val="28"/>
        </w:rPr>
        <w:t>, коэффициент размягчения 0,8, коэффициент крепости 6,1, прочность по морозостойкости − 1350 кгс/см</w:t>
      </w:r>
      <w:r>
        <w:rPr>
          <w:sz w:val="28"/>
          <w:vertAlign w:val="superscript"/>
        </w:rPr>
        <w:t>2</w:t>
      </w:r>
      <w:r>
        <w:rPr>
          <w:sz w:val="28"/>
        </w:rPr>
        <w:t>, марка по морозостойкости − более 25 циклов. Содержание трехокисной серы не превышает 0,1% при допустимом 0,5%. Строительный камень пригоден для получения щебня, бутового камня, для использования в дорожном строительстве, кладке подпорных стен и фундаментов.</w:t>
      </w:r>
    </w:p>
    <w:p>
      <w:pPr>
        <w:sectPr>
          <w:headerReference w:type="default" r:id="rId15"/>
          <w:type w:val="nextPage"/>
          <w:pgSz w:w="11906" w:h="16838"/>
          <w:pgMar w:left="1134" w:right="567" w:gutter="0" w:header="709" w:top="1020" w:footer="0" w:bottom="1134"/>
          <w:pgNumType w:start="4" w:fmt="decimal"/>
          <w:formProt w:val="false"/>
          <w:textDirection w:val="lrTb"/>
          <w:docGrid w:type="default" w:linePitch="100" w:charSpace="0"/>
        </w:sectPr>
        <w:pStyle w:val="ListParagraph1"/>
        <w:tabs>
          <w:tab w:val="clear" w:pos="708"/>
          <w:tab w:val="left" w:pos="993" w:leader="none"/>
          <w:tab w:val="left" w:pos="1276" w:leader="none"/>
        </w:tabs>
        <w:ind w:left="0" w:right="0" w:firstLine="709"/>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pPr>
        <w:pStyle w:val="ListParagraph1"/>
        <w:tabs>
          <w:tab w:val="clear" w:pos="708"/>
          <w:tab w:val="left" w:pos="993" w:leader="none"/>
          <w:tab w:val="left" w:pos="1276" w:leader="none"/>
        </w:tabs>
        <w:ind w:left="0" w:right="0" w:firstLine="709"/>
        <w:jc w:val="both"/>
        <w:rPr>
          <w:sz w:val="28"/>
        </w:rPr>
      </w:pPr>
      <w:r>
        <w:rPr>
          <w:sz w:val="28"/>
        </w:rPr>
      </w:r>
    </w:p>
    <w:tbl>
      <w:tblPr>
        <w:tblStyle w:val="Style_6"/>
        <w:tblW w:w="10205" w:type="dxa"/>
        <w:jc w:val="left"/>
        <w:tblInd w:w="-5" w:type="dxa"/>
        <w:tblLayout w:type="fixed"/>
        <w:tblCellMar>
          <w:top w:w="55" w:type="dxa"/>
          <w:left w:w="55" w:type="dxa"/>
          <w:bottom w:w="55" w:type="dxa"/>
          <w:right w:w="55" w:type="dxa"/>
        </w:tblCellMar>
      </w:tblPr>
      <w:tblGrid>
        <w:gridCol w:w="2551"/>
        <w:gridCol w:w="2551"/>
        <w:gridCol w:w="2550"/>
        <w:gridCol w:w="1"/>
        <w:gridCol w:w="2551"/>
      </w:tblGrid>
      <w:tr>
        <w:trPr/>
        <w:tc>
          <w:tcPr>
            <w:tcW w:w="2551" w:type="dxa"/>
            <w:vMerge w:val="restart"/>
            <w:tcBorders>
              <w:top w:val="single" w:sz="4" w:space="0" w:color="000000"/>
              <w:left w:val="single" w:sz="4" w:space="0" w:color="000000"/>
              <w:bottom w:val="single" w:sz="4"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101"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Координаты </w:t>
            </w:r>
          </w:p>
        </w:tc>
        <w:tc>
          <w:tcPr>
            <w:tcW w:w="2552" w:type="dxa"/>
            <w:gridSpan w:val="2"/>
            <w:tcBorders>
              <w:top w:val="single" w:sz="6" w:space="0" w:color="000000"/>
              <w:left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Площадь,</w:t>
            </w:r>
          </w:p>
        </w:tc>
      </w:tr>
      <w:tr>
        <w:trPr/>
        <w:tc>
          <w:tcPr>
            <w:tcW w:w="2551" w:type="dxa"/>
            <w:vMerge w:val="continue"/>
            <w:tcBorders>
              <w:top w:val="single" w:sz="4" w:space="0" w:color="000000"/>
              <w:left w:val="single" w:sz="4" w:space="0" w:color="000000"/>
              <w:bottom w:val="single" w:sz="4"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51" w:type="dxa"/>
            <w:tcBorders>
              <w:top w:val="single" w:sz="6" w:space="0" w:color="000000"/>
              <w:left w:val="single" w:sz="6"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с.ш.</w:t>
            </w:r>
          </w:p>
        </w:tc>
        <w:tc>
          <w:tcPr>
            <w:tcW w:w="2551" w:type="dxa"/>
            <w:gridSpan w:val="2"/>
            <w:tcBorders>
              <w:left w:val="single" w:sz="4"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в.д.</w:t>
            </w:r>
          </w:p>
        </w:tc>
        <w:tc>
          <w:tcPr>
            <w:tcW w:w="2551" w:type="dxa"/>
            <w:tcBorders>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1</w:t>
            </w:r>
          </w:p>
        </w:tc>
        <w:tc>
          <w:tcPr>
            <w:tcW w:w="2551" w:type="dxa"/>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60°27'57,456"</w:t>
            </w:r>
          </w:p>
        </w:tc>
        <w:tc>
          <w:tcPr>
            <w:tcW w:w="2551" w:type="dxa"/>
            <w:gridSpan w:val="2"/>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166°02'10,572"</w:t>
            </w:r>
          </w:p>
        </w:tc>
        <w:tc>
          <w:tcPr>
            <w:tcW w:w="2551"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0,041</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2</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60°28'3,648"</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166°02'33,648"</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3</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60°28'0,552"</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166°02'37,500"</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4</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60°27'55,044"</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166°02'14,280"</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5770880" cy="4362450"/>
            <wp:effectExtent l="0" t="0" r="0" b="0"/>
            <wp:wrapSquare wrapText="largest"/>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16"/>
                    <a:stretch>
                      <a:fillRect/>
                    </a:stretch>
                  </pic:blipFill>
                  <pic:spPr bwMode="auto">
                    <a:xfrm>
                      <a:off x="0" y="0"/>
                      <a:ext cx="5770880" cy="4362450"/>
                    </a:xfrm>
                    <a:prstGeom prst="rect">
                      <a:avLst/>
                    </a:prstGeom>
                  </pic:spPr>
                </pic:pic>
              </a:graphicData>
            </a:graphic>
          </wp:anchor>
        </w:drawing>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sz w:val="28"/>
          <w:u w:val="single"/>
        </w:rPr>
        <w:t>Участок недр «Карьер-3»</w:t>
      </w:r>
      <w:r>
        <w:rPr>
          <w:sz w:val="28"/>
        </w:rPr>
        <w:t xml:space="preserve"> расположен на 19 км автозимника на АО «Аметистовое». В районе участка недр распространены горные породы верхней подсвиты алугинской свиты нижнего палеогена, представленные аргиллитами и алевролитами с линзами гравелитов, мергелей и песчаников. Аргиллиты и алевролиты массивные, зеленовато-серые до черных, скоплуповатые, с тонкими вкраплениями пирита, отмечаются редкие прослои серых мелкозернистых вулканомиктовых массивных и слоистых песчаников. Кластические зерна составляют 30-50% объема породы и представлены плагиоклазом, эффузивами среднего-основного состава, пироксенами, кварцем, аргилитами и дацитами. Цемент глинисто-хлоритовый кремнисто-хлоритово-глинистый, реже карбонатный, базального и пористого типа. Повсеместно отмечаются мелкие конкреции пелитоморфных известняков. Коренные породы перекрыты маломощными эллювиально-делювиальными щебнисто-супесчано-суглинистыми образованиями. Морфологически участок недр расположен на водораздельной части низкой гряды, разделяющей реки Ледяную и Кырвармыргин. Поверхность участка недр задернована и покрыта кустарниковой растительностью. </w:t>
      </w:r>
    </w:p>
    <w:p>
      <w:pPr>
        <w:pStyle w:val="ListParagraph1"/>
        <w:tabs>
          <w:tab w:val="clear" w:pos="708"/>
          <w:tab w:val="left" w:pos="993" w:leader="none"/>
          <w:tab w:val="left" w:pos="1276" w:leader="none"/>
        </w:tabs>
        <w:ind w:left="0" w:right="0" w:firstLine="709"/>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pPr>
        <w:pStyle w:val="ListParagraph1"/>
        <w:tabs>
          <w:tab w:val="clear" w:pos="708"/>
          <w:tab w:val="left" w:pos="735" w:leader="none"/>
          <w:tab w:val="left" w:pos="1276" w:leader="none"/>
        </w:tabs>
        <w:ind w:left="0" w:right="0" w:hanging="0"/>
        <w:jc w:val="both"/>
        <w:rPr>
          <w:color w:val="C9211E"/>
        </w:rPr>
      </w:pPr>
      <w:r>
        <w:rPr>
          <w:color w:val="C9211E"/>
        </w:rPr>
      </w:r>
    </w:p>
    <w:tbl>
      <w:tblPr>
        <w:tblStyle w:val="Style_6"/>
        <w:tblW w:w="10205" w:type="dxa"/>
        <w:jc w:val="left"/>
        <w:tblInd w:w="-5" w:type="dxa"/>
        <w:tblLayout w:type="fixed"/>
        <w:tblCellMar>
          <w:top w:w="55" w:type="dxa"/>
          <w:left w:w="55" w:type="dxa"/>
          <w:bottom w:w="55" w:type="dxa"/>
          <w:right w:w="55" w:type="dxa"/>
        </w:tblCellMar>
      </w:tblPr>
      <w:tblGrid>
        <w:gridCol w:w="2551"/>
        <w:gridCol w:w="2551"/>
        <w:gridCol w:w="2550"/>
        <w:gridCol w:w="1"/>
        <w:gridCol w:w="2551"/>
      </w:tblGrid>
      <w:tr>
        <w:trPr/>
        <w:tc>
          <w:tcPr>
            <w:tcW w:w="2551" w:type="dxa"/>
            <w:vMerge w:val="restart"/>
            <w:tcBorders>
              <w:top w:val="single" w:sz="4" w:space="0" w:color="000000"/>
              <w:left w:val="single" w:sz="4" w:space="0" w:color="000000"/>
              <w:bottom w:val="single" w:sz="4"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101" w:type="dxa"/>
            <w:gridSpan w:val="2"/>
            <w:tcBorders>
              <w:top w:val="single" w:sz="6" w:space="0" w:color="000000"/>
              <w:left w:val="single" w:sz="6"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Координаты </w:t>
            </w:r>
          </w:p>
        </w:tc>
        <w:tc>
          <w:tcPr>
            <w:tcW w:w="2552" w:type="dxa"/>
            <w:gridSpan w:val="2"/>
            <w:tcBorders>
              <w:top w:val="single" w:sz="6" w:space="0" w:color="000000"/>
              <w:left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Площадь,</w:t>
            </w:r>
          </w:p>
        </w:tc>
      </w:tr>
      <w:tr>
        <w:trPr/>
        <w:tc>
          <w:tcPr>
            <w:tcW w:w="2551" w:type="dxa"/>
            <w:vMerge w:val="continue"/>
            <w:tcBorders>
              <w:top w:val="single" w:sz="4" w:space="0" w:color="000000"/>
              <w:left w:val="single" w:sz="4" w:space="0" w:color="000000"/>
              <w:bottom w:val="single" w:sz="4"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51" w:type="dxa"/>
            <w:tcBorders>
              <w:left w:val="single" w:sz="6"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с.ш.</w:t>
            </w:r>
          </w:p>
        </w:tc>
        <w:tc>
          <w:tcPr>
            <w:tcW w:w="2551" w:type="dxa"/>
            <w:gridSpan w:val="2"/>
            <w:tcBorders>
              <w:left w:val="single" w:sz="4" w:space="0" w:color="000000"/>
              <w:bottom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в.д.</w:t>
            </w:r>
          </w:p>
        </w:tc>
        <w:tc>
          <w:tcPr>
            <w:tcW w:w="2551" w:type="dxa"/>
            <w:tcBorders>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1</w:t>
            </w:r>
          </w:p>
        </w:tc>
        <w:tc>
          <w:tcPr>
            <w:tcW w:w="2551" w:type="dxa"/>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60°34'28,920"</w:t>
            </w:r>
          </w:p>
        </w:tc>
        <w:tc>
          <w:tcPr>
            <w:tcW w:w="2551" w:type="dxa"/>
            <w:gridSpan w:val="2"/>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165°57'54,864"</w:t>
            </w:r>
          </w:p>
        </w:tc>
        <w:tc>
          <w:tcPr>
            <w:tcW w:w="25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0" w:right="0" w:hanging="0"/>
              <w:jc w:val="center"/>
              <w:rPr>
                <w:sz w:val="28"/>
              </w:rPr>
            </w:pPr>
            <w:r>
              <w:rPr>
                <w:color w:val="000000"/>
                <w:spacing w:val="0"/>
                <w:kern w:val="0"/>
                <w:sz w:val="28"/>
                <w:szCs w:val="20"/>
              </w:rPr>
              <w:t>0,047</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2</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60°34'30,252"</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165°58'02,028"</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3</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60°34'18,120"</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165°58'11,388"</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4</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60°34'16,752"</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165°58'04,188"</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223000" cy="4439285"/>
            <wp:effectExtent l="0" t="0" r="0" b="0"/>
            <wp:wrapSquare wrapText="largest"/>
            <wp:docPr id="3"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
                    <pic:cNvPicPr>
                      <a:picLocks noChangeAspect="1" noChangeArrowheads="1"/>
                    </pic:cNvPicPr>
                  </pic:nvPicPr>
                  <pic:blipFill>
                    <a:blip r:embed="rId17"/>
                    <a:stretch>
                      <a:fillRect/>
                    </a:stretch>
                  </pic:blipFill>
                  <pic:spPr bwMode="auto">
                    <a:xfrm>
                      <a:off x="0" y="0"/>
                      <a:ext cx="6223000" cy="4439285"/>
                    </a:xfrm>
                    <a:prstGeom prst="rect">
                      <a:avLst/>
                    </a:prstGeom>
                  </pic:spPr>
                </pic:pic>
              </a:graphicData>
            </a:graphic>
          </wp:anchor>
        </w:drawing>
      </w:r>
    </w:p>
    <w:p>
      <w:pPr>
        <w:pStyle w:val="ListParagraph1"/>
        <w:tabs>
          <w:tab w:val="clear" w:pos="708"/>
          <w:tab w:val="left" w:pos="735" w:leader="none"/>
          <w:tab w:val="left" w:pos="1276" w:leader="none"/>
        </w:tabs>
        <w:ind w:left="0" w:right="0" w:firstLine="709"/>
        <w:jc w:val="both"/>
        <w:rPr>
          <w:color w:val="C9211E"/>
        </w:rPr>
      </w:pPr>
      <w:r>
        <w:rPr>
          <w:sz w:val="28"/>
          <w:u w:val="single"/>
        </w:rPr>
        <w:t>Участок недр «Карьер-4»</w:t>
      </w:r>
      <w:r>
        <w:rPr>
          <w:sz w:val="28"/>
        </w:rPr>
        <w:t xml:space="preserve"> расположен на 25 км автозимника на АО «Аметистовое». В районе участка недр распространены горные породы верхней подсвиты пахачинской свиты нижнего неогена, представленные песчаниками, алевролитами с линзами и прослоями гравелитов и конгломератов. Коренные породы перекрыты современными коллювиальными и солифлюкционными отложениями и маломощным почвенно-растительным слоем. Горные породы в районе участка недр сцементированные, от средне- до крупнообломочных и представлены разнозернистыми вулканомиктовыми массивными буроватыми песчаниками с редкими прослоями желтовато-серых и желтовато-бурых гравелитов.  Кластические зерна составляют 30-50% объема породы и представлены плагиоклазом, эффузивами среднего-основного состава, пироксенами и кварцем. Цемент зачастую глинисто-хлоритовый с бурыми гидроокислами железа базального и порового типа. Гравелиты сложены хорошо окатанными обломками базальтов, андезибазальтов, долеритов, туфов, алевролитов. Морфологически площадь участка недр приурочена к торцу невысокой гряды, покрытой травянисто-кустарниковой растительностью. </w:t>
      </w:r>
    </w:p>
    <w:p>
      <w:pPr>
        <w:pStyle w:val="ListParagraph1"/>
        <w:tabs>
          <w:tab w:val="clear" w:pos="708"/>
          <w:tab w:val="left" w:pos="993" w:leader="none"/>
          <w:tab w:val="left" w:pos="1276" w:leader="none"/>
        </w:tabs>
        <w:ind w:left="0" w:right="0" w:firstLine="709"/>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pPr>
        <w:pStyle w:val="ListParagraph1"/>
        <w:tabs>
          <w:tab w:val="clear" w:pos="708"/>
          <w:tab w:val="left" w:pos="993" w:leader="none"/>
          <w:tab w:val="left" w:pos="1276" w:leader="none"/>
        </w:tabs>
        <w:ind w:left="0" w:right="0" w:firstLine="709"/>
        <w:jc w:val="both"/>
        <w:rPr>
          <w:sz w:val="24"/>
        </w:rPr>
      </w:pPr>
      <w:r>
        <w:rPr>
          <w:sz w:val="24"/>
        </w:rPr>
      </w:r>
    </w:p>
    <w:tbl>
      <w:tblPr>
        <w:tblStyle w:val="Style_6"/>
        <w:tblW w:w="10205" w:type="dxa"/>
        <w:jc w:val="left"/>
        <w:tblInd w:w="-5" w:type="dxa"/>
        <w:tblLayout w:type="fixed"/>
        <w:tblCellMar>
          <w:top w:w="55" w:type="dxa"/>
          <w:left w:w="55" w:type="dxa"/>
          <w:bottom w:w="55" w:type="dxa"/>
          <w:right w:w="55" w:type="dxa"/>
        </w:tblCellMar>
      </w:tblPr>
      <w:tblGrid>
        <w:gridCol w:w="2551"/>
        <w:gridCol w:w="2551"/>
        <w:gridCol w:w="2550"/>
        <w:gridCol w:w="1"/>
        <w:gridCol w:w="2551"/>
      </w:tblGrid>
      <w:tr>
        <w:trPr/>
        <w:tc>
          <w:tcPr>
            <w:tcW w:w="2551" w:type="dxa"/>
            <w:vMerge w:val="restart"/>
            <w:tcBorders>
              <w:top w:val="single" w:sz="4" w:space="0" w:color="000000"/>
              <w:left w:val="single" w:sz="4" w:space="0" w:color="000000"/>
              <w:bottom w:val="single" w:sz="4"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101" w:type="dxa"/>
            <w:gridSpan w:val="2"/>
            <w:tcBorders>
              <w:top w:val="single" w:sz="6" w:space="0" w:color="000000"/>
              <w:left w:val="single" w:sz="6"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Координаты </w:t>
            </w:r>
          </w:p>
        </w:tc>
        <w:tc>
          <w:tcPr>
            <w:tcW w:w="2552" w:type="dxa"/>
            <w:gridSpan w:val="2"/>
            <w:tcBorders>
              <w:top w:val="single" w:sz="6" w:space="0" w:color="000000"/>
              <w:left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Площадь,</w:t>
            </w:r>
          </w:p>
        </w:tc>
      </w:tr>
      <w:tr>
        <w:trPr/>
        <w:tc>
          <w:tcPr>
            <w:tcW w:w="2551" w:type="dxa"/>
            <w:vMerge w:val="continue"/>
            <w:tcBorders>
              <w:top w:val="single" w:sz="4" w:space="0" w:color="000000"/>
              <w:left w:val="single" w:sz="4" w:space="0" w:color="000000"/>
              <w:bottom w:val="single" w:sz="4" w:space="0" w:color="000000"/>
              <w:right w:val="single" w:sz="6" w:space="0" w:color="000000"/>
            </w:tcBorders>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51" w:type="dxa"/>
            <w:tcBorders>
              <w:left w:val="single" w:sz="6"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с.ш.</w:t>
            </w:r>
          </w:p>
        </w:tc>
        <w:tc>
          <w:tcPr>
            <w:tcW w:w="2551" w:type="dxa"/>
            <w:gridSpan w:val="2"/>
            <w:tcBorders>
              <w:left w:val="single" w:sz="4" w:space="0" w:color="000000"/>
              <w:bottom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в.д.</w:t>
            </w:r>
          </w:p>
        </w:tc>
        <w:tc>
          <w:tcPr>
            <w:tcW w:w="2551" w:type="dxa"/>
            <w:tcBorders>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1</w:t>
            </w:r>
          </w:p>
        </w:tc>
        <w:tc>
          <w:tcPr>
            <w:tcW w:w="2551" w:type="dxa"/>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60°36'59,292"</w:t>
            </w:r>
          </w:p>
        </w:tc>
        <w:tc>
          <w:tcPr>
            <w:tcW w:w="2551" w:type="dxa"/>
            <w:gridSpan w:val="2"/>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165°58'02,892"</w:t>
            </w:r>
          </w:p>
        </w:tc>
        <w:tc>
          <w:tcPr>
            <w:tcW w:w="25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0" w:right="0" w:hanging="0"/>
              <w:jc w:val="center"/>
              <w:rPr>
                <w:sz w:val="28"/>
              </w:rPr>
            </w:pPr>
            <w:r>
              <w:rPr>
                <w:color w:val="000000"/>
                <w:spacing w:val="0"/>
                <w:kern w:val="0"/>
                <w:sz w:val="28"/>
                <w:szCs w:val="20"/>
              </w:rPr>
              <w:t>0,032</w:t>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2</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60°37'03,144"</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165°58'08,976"</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3</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60°37'02,208"</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165°58'14,700"</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4</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60°36'59,076"</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165°58'19,704"</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28"/>
              <w:widowControl/>
              <w:spacing w:lineRule="auto" w:line="240" w:before="0" w:after="0"/>
              <w:ind w:left="0" w:right="0" w:hanging="0"/>
              <w:jc w:val="center"/>
              <w:rPr>
                <w:sz w:val="28"/>
              </w:rPr>
            </w:pPr>
            <w:r>
              <w:rPr>
                <w:color w:val="000000"/>
                <w:spacing w:val="0"/>
                <w:kern w:val="0"/>
                <w:sz w:val="28"/>
                <w:szCs w:val="20"/>
              </w:rPr>
              <w:t>5</w:t>
            </w:r>
          </w:p>
        </w:tc>
        <w:tc>
          <w:tcPr>
            <w:tcW w:w="2551"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60°36'55,872"</w:t>
            </w:r>
          </w:p>
        </w:tc>
        <w:tc>
          <w:tcPr>
            <w:tcW w:w="2551"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165°58'12,360"</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993" w:leader="none"/>
          <w:tab w:val="left" w:pos="1276" w:leader="none"/>
        </w:tabs>
        <w:ind w:left="0" w:right="0" w:hanging="0"/>
        <w:jc w:val="center"/>
        <w:rPr>
          <w:sz w:val="28"/>
        </w:rPr>
      </w:pPr>
      <w:r>
        <w:rPr>
          <w:sz w:val="28"/>
        </w:rPr>
        <w:drawing>
          <wp:anchor behindDoc="0" distT="0" distB="0" distL="0" distR="0" simplePos="0" locked="0" layoutInCell="0" allowOverlap="1" relativeHeight="3">
            <wp:simplePos x="0" y="0"/>
            <wp:positionH relativeFrom="column">
              <wp:posOffset>15875</wp:posOffset>
            </wp:positionH>
            <wp:positionV relativeFrom="paragraph">
              <wp:posOffset>193675</wp:posOffset>
            </wp:positionV>
            <wp:extent cx="6371590" cy="3068955"/>
            <wp:effectExtent l="0" t="0" r="0" b="0"/>
            <wp:wrapSquare wrapText="largest"/>
            <wp:docPr id="4"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descr=""/>
                    <pic:cNvPicPr>
                      <a:picLocks noChangeAspect="1" noChangeArrowheads="1"/>
                    </pic:cNvPicPr>
                  </pic:nvPicPr>
                  <pic:blipFill>
                    <a:blip r:embed="rId18"/>
                    <a:stretch>
                      <a:fillRect/>
                    </a:stretch>
                  </pic:blipFill>
                  <pic:spPr bwMode="auto">
                    <a:xfrm>
                      <a:off x="0" y="0"/>
                      <a:ext cx="6371590" cy="3068955"/>
                    </a:xfrm>
                    <a:prstGeom prst="rect">
                      <a:avLst/>
                    </a:prstGeom>
                  </pic:spPr>
                </pic:pic>
              </a:graphicData>
            </a:graphic>
          </wp:anchor>
        </w:drawing>
      </w:r>
    </w:p>
    <w:p>
      <w:pPr>
        <w:pStyle w:val="ListParagraph1"/>
        <w:spacing w:before="240" w:after="240"/>
        <w:ind w:left="0" w:right="0" w:hanging="0"/>
        <w:contextualSpacing/>
        <w:jc w:val="center"/>
        <w:rPr>
          <w:sz w:val="28"/>
        </w:rPr>
      </w:pPr>
      <w:r>
        <w:rPr>
          <w:sz w:val="28"/>
        </w:rPr>
        <w:t>Основные условия пользования недрами</w:t>
      </w:r>
    </w:p>
    <w:p>
      <w:pPr>
        <w:pStyle w:val="ListParagraph1"/>
        <w:spacing w:before="240" w:after="240"/>
        <w:ind w:left="0" w:right="0" w:hanging="0"/>
        <w:contextualSpacing/>
        <w:jc w:val="center"/>
        <w:rPr>
          <w:color w:val="C9211E"/>
          <w:sz w:val="28"/>
        </w:rPr>
      </w:pPr>
      <w:r>
        <w:rPr>
          <w:color w:val="C9211E"/>
          <w:sz w:val="28"/>
        </w:rPr>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 пользования участками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Сроки подготовки проектной документации:</w:t>
      </w:r>
    </w:p>
    <w:p>
      <w:pPr>
        <w:pStyle w:val="ListParagraph1"/>
        <w:widowControl w:val="false"/>
        <w:tabs>
          <w:tab w:val="clear" w:pos="708"/>
          <w:tab w:val="left" w:pos="735" w:leader="none"/>
        </w:tabs>
        <w:ind w:left="0" w:right="0" w:firstLine="709"/>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pPr>
        <w:pStyle w:val="ListParagraph1"/>
        <w:widowControl w:val="false"/>
        <w:tabs>
          <w:tab w:val="clear" w:pos="708"/>
          <w:tab w:val="left" w:pos="1134" w:leader="none"/>
        </w:tabs>
        <w:ind w:left="0" w:right="0" w:firstLine="709"/>
        <w:jc w:val="both"/>
        <w:rPr>
          <w:sz w:val="28"/>
        </w:rPr>
      </w:pPr>
      <w:r>
        <w:rPr>
          <w:sz w:val="28"/>
        </w:rPr>
        <w:t>2) завершение геологического изучения участков недр, включающего поиски и 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полезных ископаемых;</w:t>
      </w:r>
    </w:p>
    <w:p>
      <w:pPr>
        <w:pStyle w:val="ListParagraph1"/>
        <w:widowControl w:val="false"/>
        <w:tabs>
          <w:tab w:val="clear" w:pos="708"/>
          <w:tab w:val="left" w:pos="1134" w:leader="none"/>
        </w:tabs>
        <w:ind w:left="0" w:right="0" w:firstLine="709"/>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6) представление материалов по результатам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месторождениях полезных ископаемых;</w:t>
      </w:r>
    </w:p>
    <w:p>
      <w:pPr>
        <w:pStyle w:val="ListParagraph1"/>
        <w:widowControl w:val="false"/>
        <w:tabs>
          <w:tab w:val="clear" w:pos="708"/>
          <w:tab w:val="left" w:pos="1134" w:leader="none"/>
        </w:tabs>
        <w:ind w:left="0" w:right="0" w:firstLine="709"/>
        <w:jc w:val="both"/>
        <w:rPr>
          <w:sz w:val="28"/>
        </w:rPr>
      </w:pPr>
      <w:r>
        <w:rPr>
          <w:sz w:val="28"/>
        </w:rPr>
        <w:t>7) утверждение технических проектов разработки месторождени</w:t>
        <w:tab/>
        <w:t>й полезных ископаемых, согласованных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pPr>
        <w:pStyle w:val="ListParagraph1"/>
        <w:widowControl w:val="false"/>
        <w:tabs>
          <w:tab w:val="clear" w:pos="708"/>
          <w:tab w:val="left" w:pos="1134" w:leader="none"/>
        </w:tabs>
        <w:ind w:left="0" w:right="0" w:firstLine="709"/>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pPr>
        <w:pStyle w:val="ListParagraph1"/>
        <w:widowControl w:val="false"/>
        <w:tabs>
          <w:tab w:val="clear" w:pos="708"/>
          <w:tab w:val="left" w:pos="1134" w:leader="none"/>
        </w:tabs>
        <w:ind w:left="0" w:right="0" w:firstLine="709"/>
        <w:jc w:val="both"/>
        <w:rPr>
          <w:sz w:val="28"/>
        </w:rPr>
      </w:pPr>
      <w:r>
        <w:rPr>
          <w:sz w:val="28"/>
        </w:rPr>
        <w:t>9) срок подготовки проектов рекультивации земель – в срок не позднее 6 (шести) месяцев до установленного срока завершения отработки месторождения.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месторождений полезных ископаемых).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месторождений полезных ископаемых согласно проектам опытно-промышленной разработки месторождений, согласованных и утвержденных в порядке, предусмотренном статьей 23.2 Закона «О недрах».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hyperlink r:id="rId19">
        <w:r>
          <w:rPr>
            <w:sz w:val="28"/>
          </w:rPr>
          <w:t>закон</w:t>
        </w:r>
      </w:hyperlink>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Платежи, налоги и сборы:</w:t>
      </w:r>
    </w:p>
    <w:p>
      <w:pPr>
        <w:pStyle w:val="Normal"/>
        <w:ind w:left="0" w:right="0" w:firstLine="709"/>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pPr>
        <w:pStyle w:val="ListParagraph1"/>
        <w:tabs>
          <w:tab w:val="clear" w:pos="708"/>
          <w:tab w:val="left" w:pos="0" w:leader="none"/>
          <w:tab w:val="left" w:pos="142" w:leader="none"/>
          <w:tab w:val="left" w:pos="709" w:leader="none"/>
        </w:tabs>
        <w:ind w:left="709" w:right="0" w:hanging="0"/>
        <w:jc w:val="both"/>
        <w:rPr>
          <w:sz w:val="28"/>
          <w:u w:val="single"/>
        </w:rPr>
      </w:pPr>
      <w:r>
        <w:rPr>
          <w:sz w:val="28"/>
          <w:u w:val="single"/>
        </w:rPr>
        <w:t>Наименование получателя:</w:t>
      </w:r>
    </w:p>
    <w:p>
      <w:pPr>
        <w:pStyle w:val="ListParagraph1"/>
        <w:tabs>
          <w:tab w:val="clear" w:pos="708"/>
          <w:tab w:val="left" w:pos="0" w:leader="none"/>
          <w:tab w:val="left" w:pos="142" w:leader="none"/>
        </w:tabs>
        <w:ind w:left="0" w:right="0" w:firstLine="709"/>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pPr>
        <w:pStyle w:val="ListParagraph1"/>
        <w:tabs>
          <w:tab w:val="clear" w:pos="708"/>
          <w:tab w:val="left" w:pos="0" w:leader="none"/>
          <w:tab w:val="left" w:pos="142" w:leader="none"/>
        </w:tabs>
        <w:ind w:left="0" w:right="0" w:firstLine="709"/>
        <w:jc w:val="both"/>
        <w:rPr>
          <w:sz w:val="28"/>
          <w:u w:val="single"/>
        </w:rPr>
      </w:pPr>
      <w:r>
        <w:rPr>
          <w:sz w:val="28"/>
          <w:u w:val="single"/>
        </w:rPr>
        <w:t>Банковские реквизиты получателя:</w:t>
      </w:r>
    </w:p>
    <w:p>
      <w:pPr>
        <w:pStyle w:val="ListParagraph1"/>
        <w:tabs>
          <w:tab w:val="clear" w:pos="708"/>
          <w:tab w:val="left" w:pos="0" w:leader="none"/>
          <w:tab w:val="left" w:pos="142" w:leader="none"/>
        </w:tabs>
        <w:ind w:left="0" w:right="0" w:firstLine="709"/>
        <w:jc w:val="both"/>
        <w:rPr>
          <w:sz w:val="28"/>
        </w:rPr>
      </w:pPr>
      <w:r>
        <w:rPr>
          <w:sz w:val="28"/>
        </w:rPr>
        <w:t>Банк: ОТДЕЛЕНИЕ ПЕТРОПАВЛОВСК-КАМЧАТСКИЙ г. ПЕТРОПАВЛОВСК-КАМЧАТСКИЙ; р/с 40102810945370000031; БИК 013002402.</w:t>
      </w:r>
    </w:p>
    <w:p>
      <w:pPr>
        <w:pStyle w:val="ListParagraph1"/>
        <w:tabs>
          <w:tab w:val="clear" w:pos="708"/>
          <w:tab w:val="left" w:pos="0" w:leader="none"/>
          <w:tab w:val="left" w:pos="142" w:leader="none"/>
        </w:tabs>
        <w:ind w:left="0" w:right="0" w:firstLine="709"/>
        <w:jc w:val="both"/>
        <w:rPr>
          <w:sz w:val="28"/>
          <w:u w:val="single"/>
        </w:rPr>
      </w:pPr>
      <w:r>
        <w:rPr>
          <w:sz w:val="28"/>
          <w:u w:val="single"/>
        </w:rPr>
        <w:t>Назначение платежа и код бюджетной классификации:</w:t>
      </w:r>
    </w:p>
    <w:p>
      <w:pPr>
        <w:pStyle w:val="ListParagraph1"/>
        <w:tabs>
          <w:tab w:val="clear" w:pos="708"/>
          <w:tab w:val="left" w:pos="0" w:leader="none"/>
          <w:tab w:val="left" w:pos="142" w:leader="none"/>
        </w:tabs>
        <w:ind w:left="0" w:right="0" w:firstLine="709"/>
        <w:jc w:val="both"/>
        <w:rPr>
          <w:sz w:val="28"/>
        </w:rPr>
      </w:pPr>
      <w:bookmarkStart w:id="16"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6"/>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3) другие налоги и сборы, установленные законодательством Российской Федерации.</w:t>
      </w:r>
    </w:p>
    <w:p>
      <w:pPr>
        <w:pStyle w:val="Normal"/>
        <w:ind w:left="0" w:right="0" w:firstLine="708"/>
        <w:jc w:val="both"/>
        <w:rPr>
          <w:sz w:val="28"/>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hyperlink r:id="rId20">
        <w:r>
          <w:rPr>
            <w:sz w:val="28"/>
          </w:rPr>
          <w:t>частью восьмой</w:t>
        </w:r>
      </w:hyperlink>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предоставленным ему участкам недр местного значения.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 том числе, планов и схем развития горных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горных отвода на участки недр;</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земельных документов на участки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pPr>
        <w:pStyle w:val="Normal"/>
        <w:widowControl w:val="false"/>
        <w:ind w:left="4956" w:right="0" w:firstLine="856"/>
        <w:rPr>
          <w:sz w:val="28"/>
        </w:rPr>
      </w:pPr>
      <w:bookmarkStart w:id="17" w:name="Par78"/>
      <w:bookmarkEnd w:id="17"/>
      <w:r>
        <w:rPr>
          <w:sz w:val="28"/>
        </w:rPr>
        <w:t>Приложение 1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pStyle w:val="Normal"/>
        <w:numPr>
          <w:ilvl w:val="0"/>
          <w:numId w:val="0"/>
        </w:numPr>
        <w:ind w:left="13" w:right="13" w:hanging="0"/>
        <w:jc w:val="center"/>
        <w:outlineLvl w:val="0"/>
        <w:rPr>
          <w:sz w:val="28"/>
        </w:rPr>
      </w:pPr>
      <w:r>
        <w:rPr>
          <w:sz w:val="28"/>
        </w:rPr>
        <w:t>Расчет стартового размера разового платежа</w:t>
      </w:r>
    </w:p>
    <w:p>
      <w:pPr>
        <w:pStyle w:val="Normal"/>
        <w:numPr>
          <w:ilvl w:val="0"/>
          <w:numId w:val="0"/>
        </w:numPr>
        <w:ind w:left="13" w:right="13" w:hanging="0"/>
        <w:jc w:val="center"/>
        <w:outlineLvl w:val="0"/>
        <w:rPr>
          <w:sz w:val="28"/>
        </w:rPr>
      </w:pPr>
      <w:r>
        <w:rPr>
          <w:sz w:val="28"/>
        </w:rPr>
        <w:t xml:space="preserve">за пользование </w:t>
      </w:r>
      <w:r>
        <w:rPr>
          <w:spacing w:val="-5"/>
          <w:sz w:val="28"/>
        </w:rPr>
        <w:t xml:space="preserve">участками недр местного значения «Карьер-1», </w:t>
      </w:r>
    </w:p>
    <w:p>
      <w:pPr>
        <w:pStyle w:val="Normal"/>
        <w:numPr>
          <w:ilvl w:val="0"/>
          <w:numId w:val="0"/>
        </w:numPr>
        <w:ind w:left="13" w:right="13" w:hanging="0"/>
        <w:jc w:val="center"/>
        <w:outlineLvl w:val="0"/>
        <w:rPr>
          <w:sz w:val="28"/>
        </w:rPr>
      </w:pPr>
      <w:r>
        <w:rPr>
          <w:spacing w:val="-5"/>
          <w:sz w:val="28"/>
        </w:rPr>
        <w:t>«Карьер-3» и «Карьер-4»</w:t>
      </w:r>
    </w:p>
    <w:p>
      <w:pPr>
        <w:pStyle w:val="Normal"/>
        <w:numPr>
          <w:ilvl w:val="0"/>
          <w:numId w:val="0"/>
        </w:numPr>
        <w:ind w:left="13" w:right="13" w:hanging="0"/>
        <w:jc w:val="center"/>
        <w:outlineLvl w:val="0"/>
        <w:rPr>
          <w:sz w:val="28"/>
        </w:rPr>
      </w:pPr>
      <w:r>
        <w:rPr>
          <w:sz w:val="28"/>
        </w:rPr>
      </w:r>
    </w:p>
    <w:p>
      <w:pPr>
        <w:pStyle w:val="Normal"/>
        <w:ind w:left="0" w:right="0" w:firstLine="709"/>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pPr>
        <w:pStyle w:val="Normal"/>
        <w:ind w:left="0" w:right="0" w:firstLine="709"/>
        <w:jc w:val="both"/>
        <w:rPr>
          <w:sz w:val="28"/>
        </w:rPr>
      </w:pPr>
      <w:r>
        <w:rPr>
          <w:sz w:val="28"/>
        </w:rPr>
        <w:t>Стартовый размер разового платежа за пользование недрами рассчитывается по формуле:</w:t>
      </w:r>
    </w:p>
    <w:p>
      <w:pPr>
        <w:pStyle w:val="Normal"/>
        <w:ind w:left="0" w:right="0" w:firstLine="709"/>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pPr>
        <w:pStyle w:val="Normal"/>
        <w:ind w:left="0" w:right="0" w:firstLine="709"/>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pPr>
        <w:pStyle w:val="Normal"/>
        <w:ind w:left="0" w:right="0" w:firstLine="709"/>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 определяемый в порядке, установленном пунктом 17 Методики.</w:t>
      </w:r>
    </w:p>
    <w:p>
      <w:pPr>
        <w:pStyle w:val="Normal"/>
        <w:ind w:left="0" w:right="0" w:firstLine="709"/>
        <w:jc w:val="both"/>
        <w:rPr>
          <w:sz w:val="28"/>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pPr>
        <w:pStyle w:val="Normal"/>
        <w:ind w:left="0" w:right="0" w:firstLine="709"/>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pPr>
        <w:pStyle w:val="Normal"/>
        <w:ind w:left="0" w:right="0" w:firstLine="708"/>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pPr>
        <w:pStyle w:val="Normal"/>
        <w:ind w:left="0" w:right="0" w:firstLine="709"/>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ндпиСТ, </w:t>
      </w:r>
      <w:r>
        <w:rPr>
          <w:sz w:val="28"/>
        </w:rPr>
        <w:t>где:</w:t>
      </w:r>
    </w:p>
    <w:p>
      <w:pPr>
        <w:pStyle w:val="Normal"/>
        <w:ind w:left="0" w:right="0" w:firstLine="709"/>
        <w:jc w:val="both"/>
        <w:rPr>
          <w:sz w:val="27"/>
        </w:rPr>
      </w:pPr>
      <w:r>
        <w:rPr>
          <w:sz w:val="28"/>
        </w:rPr>
        <w:t>Ц</w:t>
      </w:r>
      <w:r>
        <w:rPr>
          <w:sz w:val="27"/>
          <w:vertAlign w:val="subscript"/>
        </w:rPr>
        <w:t>пи</w:t>
      </w:r>
      <w:r>
        <w:rPr>
          <w:sz w:val="27"/>
        </w:rPr>
        <w:t xml:space="preserve"> = </w:t>
      </w:r>
      <w:r>
        <w:rPr>
          <w:sz w:val="28"/>
        </w:rPr>
        <w:t>стоимость единицы добытого полезного ископаемого (камня для строительства), принимается равной средней рыночной цене реализации в регионе за период с с 1 января по 31 июня 2023 года: (314,79 + 6102 + 2730 + 2405 + 2470 + 2600) / 6 = 2770,3 руб/м</w:t>
      </w:r>
      <w:r>
        <w:rPr>
          <w:sz w:val="28"/>
          <w:vertAlign w:val="superscript"/>
        </w:rPr>
        <w:t>3</w:t>
      </w:r>
      <w:r>
        <w:rPr>
          <w:sz w:val="28"/>
        </w:rPr>
        <w:t>;</w:t>
      </w:r>
    </w:p>
    <w:p>
      <w:pPr>
        <w:pStyle w:val="Normal"/>
        <w:ind w:left="0" w:right="0" w:firstLine="709"/>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(строительного камня), принимается равной среднегодовой добыче строительного камня в Петропавловск-Елизовской агломерации Камчатского края на 1 производителя – 51,162 тыс. м</w:t>
      </w:r>
      <w:r>
        <w:rPr>
          <w:sz w:val="28"/>
          <w:vertAlign w:val="superscript"/>
        </w:rPr>
        <w:t>3</w:t>
      </w:r>
      <w:r>
        <w:rPr>
          <w:sz w:val="28"/>
        </w:rPr>
        <w:t>;</w:t>
      </w:r>
    </w:p>
    <w:p>
      <w:pPr>
        <w:pStyle w:val="Normal"/>
        <w:ind w:left="0" w:right="0" w:firstLine="709"/>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подпунктом 4 пункта 2 статьи 342 Налогового кодекса Российской Федерации (далее – НК РФ) и предусмотренного статьей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пунктом 1 статьи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 xml:space="preserve">рента </w:t>
      </w:r>
      <w:r>
        <w:rPr>
          <w:sz w:val="28"/>
        </w:rPr>
        <w:t>= 1.</w:t>
      </w:r>
    </w:p>
    <w:p>
      <w:pPr>
        <w:pStyle w:val="Normal"/>
        <w:ind w:left="0" w:right="0" w:firstLine="709"/>
        <w:jc w:val="both"/>
        <w:rPr/>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w:t>
      </w:r>
    </w:p>
    <w:p>
      <w:pPr>
        <w:pStyle w:val="Normal"/>
        <w:ind w:left="0" w:right="0" w:firstLine="709"/>
        <w:jc w:val="both"/>
        <w:rPr/>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pPr>
        <w:pStyle w:val="Normal"/>
        <w:ind w:left="0" w:right="0" w:firstLine="709"/>
        <w:jc w:val="both"/>
        <w:rPr/>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pPr>
        <w:pStyle w:val="Normal"/>
        <w:ind w:left="0" w:right="0" w:firstLine="709"/>
        <w:jc w:val="both"/>
        <w:rPr/>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hyperlink r:id="rId21">
        <w:r>
          <w:rPr>
            <w:sz w:val="28"/>
          </w:rPr>
          <w:t>приложении № 2</w:t>
        </w:r>
      </w:hyperlink>
      <w:r>
        <w:rPr>
          <w:sz w:val="28"/>
        </w:rPr>
        <w:t xml:space="preserve"> к Методике (для Камчатского края К</w:t>
      </w:r>
      <w:r>
        <w:rPr>
          <w:sz w:val="28"/>
          <w:vertAlign w:val="subscript"/>
        </w:rPr>
        <w:t>инфр</w:t>
      </w:r>
      <w:r>
        <w:rPr>
          <w:sz w:val="28"/>
        </w:rPr>
        <w:t>. = 1).</w:t>
      </w:r>
    </w:p>
    <w:p>
      <w:pPr>
        <w:pStyle w:val="Normal"/>
        <w:ind w:left="0" w:right="0" w:firstLine="794"/>
        <w:jc w:val="both"/>
        <w:rPr>
          <w:sz w:val="28"/>
        </w:rPr>
      </w:pPr>
      <w:r>
        <w:rPr>
          <w:sz w:val="28"/>
        </w:rPr>
        <w:t>Стартовый размер разового платежа за пользование недрами по участку недр местного значения составляет:</w:t>
      </w:r>
    </w:p>
    <w:p>
      <w:pPr>
        <w:pStyle w:val="Normal"/>
        <w:jc w:val="both"/>
        <w:rPr>
          <w:sz w:val="28"/>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 (2770,30 × 51162 × 0,055) × 0,1= 779 537,49 руб.</w:t>
      </w:r>
    </w:p>
    <w:p>
      <w:pPr>
        <w:pStyle w:val="Normal"/>
        <w:jc w:val="both"/>
        <w:rPr>
          <w:sz w:val="28"/>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pPr>
        <w:pStyle w:val="Normal"/>
        <w:jc w:val="both"/>
        <w:rPr>
          <w:sz w:val="28"/>
        </w:rPr>
      </w:pPr>
      <w:r>
        <w:rPr>
          <w:sz w:val="28"/>
        </w:rPr>
        <w:t>РП = РП</w:t>
      </w:r>
      <w:r>
        <w:rPr>
          <w:sz w:val="28"/>
          <w:vertAlign w:val="subscript"/>
        </w:rPr>
        <w:t>мин</w:t>
      </w:r>
      <w:r>
        <w:rPr>
          <w:sz w:val="28"/>
        </w:rPr>
        <w:t xml:space="preserve"> × К</w:t>
      </w:r>
      <w:r>
        <w:rPr>
          <w:sz w:val="28"/>
          <w:vertAlign w:val="subscript"/>
        </w:rPr>
        <w:t>инт</w:t>
      </w:r>
      <w:r>
        <w:rPr>
          <w:sz w:val="28"/>
        </w:rPr>
        <w:t xml:space="preserve"> = 779 537,49 × 1,0 = 779 537,49 руб.</w:t>
      </w:r>
    </w:p>
    <w:p>
      <w:pPr>
        <w:pStyle w:val="Normal"/>
        <w:jc w:val="both"/>
        <w:rPr>
          <w:sz w:val="28"/>
        </w:rPr>
      </w:pPr>
      <w:r>
        <w:rPr>
          <w:sz w:val="28"/>
        </w:rPr>
        <w:t>Стартовый размер разового платежа за пользование недрами – 779 537 руб. (с учетом округления).</w:t>
      </w:r>
    </w:p>
    <w:p>
      <w:pPr>
        <w:pStyle w:val="Normal"/>
        <w:rPr>
          <w:color w:val="C9211E"/>
          <w:sz w:val="27"/>
        </w:rPr>
      </w:pPr>
      <w:r>
        <w:rPr>
          <w:color w:val="C9211E"/>
          <w:sz w:val="27"/>
        </w:rPr>
      </w:r>
      <w:r>
        <w:br w:type="page"/>
      </w:r>
    </w:p>
    <w:p>
      <w:pPr>
        <w:pStyle w:val="Normal"/>
        <w:widowControl w:val="false"/>
        <w:ind w:left="4956" w:right="0" w:firstLine="856"/>
        <w:rPr>
          <w:sz w:val="28"/>
        </w:rPr>
      </w:pPr>
      <w:r>
        <w:rPr>
          <w:sz w:val="28"/>
        </w:rPr>
        <w:t>Приложение 2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sectPr>
          <w:headerReference w:type="default" r:id="rId22"/>
          <w:type w:val="nextPage"/>
          <w:pgSz w:w="11906" w:h="16838"/>
          <w:pgMar w:left="1134" w:right="567" w:gutter="0" w:header="709" w:top="1020" w:footer="0" w:bottom="1134"/>
          <w:pgNumType w:fmt="decimal"/>
          <w:formProt w:val="false"/>
          <w:textDirection w:val="lrTb"/>
          <w:docGrid w:type="default" w:linePitch="100" w:charSpace="0"/>
        </w:sectPr>
      </w:pPr>
    </w:p>
    <w:p>
      <w:pPr>
        <w:pStyle w:val="Normal"/>
        <w:jc w:val="center"/>
        <w:rPr>
          <w:sz w:val="28"/>
        </w:rPr>
      </w:pPr>
      <w:r>
        <w:rPr>
          <w:sz w:val="28"/>
        </w:rPr>
        <w:t>Определение суммы сбора за участие в аукционе на право пользования</w:t>
      </w:r>
    </w:p>
    <w:p>
      <w:pPr>
        <w:pStyle w:val="Normal"/>
        <w:numPr>
          <w:ilvl w:val="0"/>
          <w:numId w:val="0"/>
        </w:numPr>
        <w:ind w:left="13" w:right="13" w:hanging="0"/>
        <w:jc w:val="center"/>
        <w:outlineLvl w:val="0"/>
        <w:rPr>
          <w:spacing w:val="-5"/>
          <w:sz w:val="28"/>
        </w:rPr>
      </w:pPr>
      <w:r>
        <w:rPr>
          <w:spacing w:val="-5"/>
          <w:sz w:val="28"/>
        </w:rPr>
        <w:t>участками недр местного значения «Карьер-1», «Карьер-3» и «Карьер-4»</w:t>
      </w:r>
    </w:p>
    <w:p>
      <w:pPr>
        <w:pStyle w:val="Normal"/>
        <w:jc w:val="center"/>
        <w:rPr>
          <w:color w:val="C9211E"/>
          <w:spacing w:val="-5"/>
        </w:rPr>
      </w:pPr>
      <w:r>
        <w:rPr>
          <w:color w:val="C9211E"/>
          <w:spacing w:val="-5"/>
        </w:rPr>
      </w:r>
    </w:p>
    <w:p>
      <w:pPr>
        <w:sectPr>
          <w:type w:val="continuous"/>
          <w:pgSz w:w="11906" w:h="16838"/>
          <w:pgMar w:left="1134" w:right="567" w:gutter="0" w:header="709" w:top="1020" w:footer="0" w:bottom="1134"/>
          <w:formProt w:val="false"/>
          <w:textDirection w:val="lrTb"/>
          <w:docGrid w:type="default" w:linePitch="100" w:charSpace="0"/>
        </w:sectPr>
      </w:pPr>
    </w:p>
    <w:p>
      <w:pPr>
        <w:pStyle w:val="ListParagraph1"/>
        <w:tabs>
          <w:tab w:val="clear" w:pos="708"/>
          <w:tab w:val="left" w:pos="993" w:leader="none"/>
          <w:tab w:val="left" w:pos="1276" w:leader="none"/>
        </w:tabs>
        <w:ind w:left="0" w:right="0" w:firstLine="709"/>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pPr>
        <w:pStyle w:val="Normal"/>
        <w:ind w:left="0" w:right="0" w:firstLine="709"/>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pPr>
        <w:pStyle w:val="Normal"/>
        <w:ind w:left="0" w:right="0" w:firstLine="709"/>
        <w:jc w:val="both"/>
        <w:rPr>
          <w:sz w:val="28"/>
        </w:rPr>
      </w:pPr>
      <w:r>
        <w:rPr>
          <w:sz w:val="28"/>
        </w:rPr>
        <w:t xml:space="preserve">Сумма сбора за участие в аукционе, взимаемая с каждого участника аукциона, определяется по формуле: </w:t>
      </w:r>
    </w:p>
    <w:p>
      <w:pPr>
        <w:sectPr>
          <w:type w:val="continuous"/>
          <w:pgSz w:w="11906" w:h="16838"/>
          <w:pgMar w:left="1134" w:right="567" w:gutter="0" w:header="709" w:top="1020" w:footer="0" w:bottom="1134"/>
          <w:formProt w:val="false"/>
          <w:textDirection w:val="lrTb"/>
          <w:docGrid w:type="default" w:linePitch="100" w:charSpace="0"/>
        </w:sectPr>
      </w:pPr>
    </w:p>
    <w:p>
      <w:pPr>
        <w:pStyle w:val="Normal"/>
        <w:ind w:left="0" w:right="0" w:firstLine="680"/>
        <w:jc w:val="both"/>
        <w:rPr/>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pPr>
        <w:sectPr>
          <w:type w:val="continuous"/>
          <w:pgSz w:w="11906" w:h="16838"/>
          <w:pgMar w:left="1134" w:right="567" w:gutter="0" w:header="709" w:top="1020" w:footer="0" w:bottom="1134"/>
          <w:formProt w:val="false"/>
          <w:textDirection w:val="lrTb"/>
          <w:docGrid w:type="default" w:linePitch="100" w:charSpace="0"/>
        </w:sectPr>
      </w:pPr>
    </w:p>
    <w:p>
      <w:pPr>
        <w:pStyle w:val="Normal"/>
        <w:ind w:left="0" w:right="0" w:firstLine="68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pPr>
        <w:sectPr>
          <w:type w:val="continuous"/>
          <w:pgSz w:w="11906" w:h="16838"/>
          <w:pgMar w:left="1134" w:right="567" w:gutter="0" w:header="709" w:top="1020" w:footer="0" w:bottom="1134"/>
          <w:formProt w:val="false"/>
          <w:textDirection w:val="lrTb"/>
          <w:docGrid w:type="default" w:linePitch="100" w:charSpace="0"/>
        </w:sectPr>
      </w:pPr>
    </w:p>
    <w:p>
      <w:pPr>
        <w:pStyle w:val="Normal"/>
        <w:ind w:left="0" w:right="0" w:firstLine="680"/>
        <w:jc w:val="both"/>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pPr>
        <w:sectPr>
          <w:type w:val="continuous"/>
          <w:pgSz w:w="11906" w:h="16838"/>
          <w:pgMar w:left="1134" w:right="567" w:gutter="0" w:header="709" w:top="1020" w:footer="0" w:bottom="1134"/>
          <w:formProt w:val="false"/>
          <w:textDirection w:val="lrTb"/>
          <w:docGrid w:type="default" w:linePitch="100" w:charSpace="0"/>
        </w:sectPr>
      </w:pPr>
    </w:p>
    <w:p>
      <w:pPr>
        <w:pStyle w:val="Normal"/>
        <w:ind w:left="0" w:right="0" w:firstLine="680"/>
        <w:jc w:val="both"/>
        <w:rPr/>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pPr>
        <w:sectPr>
          <w:type w:val="continuous"/>
          <w:pgSz w:w="11906" w:h="16838"/>
          <w:pgMar w:left="1134" w:right="567" w:gutter="0" w:header="709" w:top="1020" w:footer="0" w:bottom="1134"/>
          <w:formProt w:val="false"/>
          <w:textDirection w:val="lrTb"/>
          <w:docGrid w:type="default" w:linePitch="100" w:charSpace="0"/>
        </w:sectPr>
      </w:pPr>
    </w:p>
    <w:p>
      <w:pPr>
        <w:pStyle w:val="Normal"/>
        <w:ind w:left="0" w:right="0" w:firstLine="680"/>
        <w:jc w:val="both"/>
        <w:rPr/>
      </w:pPr>
      <w:r>
        <w:rPr>
          <w:sz w:val="28"/>
        </w:rPr>
        <w:t>С = С</w:t>
      </w:r>
      <w:r>
        <w:rPr>
          <w:sz w:val="28"/>
          <w:vertAlign w:val="subscript"/>
        </w:rPr>
        <w:t>фикс</w:t>
      </w:r>
      <w:r>
        <w:rPr>
          <w:sz w:val="28"/>
        </w:rPr>
        <w:t xml:space="preserve"> x К</w:t>
      </w:r>
      <w:r>
        <w:rPr>
          <w:sz w:val="28"/>
          <w:vertAlign w:val="subscript"/>
        </w:rPr>
        <w:t>ин</w:t>
      </w:r>
      <w:r>
        <w:rPr>
          <w:sz w:val="28"/>
        </w:rPr>
        <w:t xml:space="preserve"> = 1,0111 х 1,0096 х 1,0082 х 1,0099 х 1,0117 х 1,0761 х 1,0156 х 1,0012 х 0,9965 х 0,9961 х 0,9948 х 1,0005 х 1,0018 х 1,0037 х 1,0078 х 1,0084 х 1,0046 х 1,0037 х 1,0038 х 1,0031 х 1,0037 х 1,0063 х 1,0028 х 1,0087 х 1,0083 х 47 000,00 рублей =  57 098,61.</w:t>
      </w:r>
    </w:p>
    <w:p>
      <w:pPr>
        <w:pStyle w:val="Normal"/>
        <w:ind w:left="0" w:right="0" w:firstLine="680"/>
        <w:jc w:val="both"/>
        <w:rPr/>
      </w:pPr>
      <w:r>
        <w:rPr>
          <w:sz w:val="28"/>
        </w:rPr>
        <w:t>С учетом округления С = 57 099,00</w:t>
      </w:r>
      <w:r>
        <w:rPr>
          <w:b/>
          <w:sz w:val="28"/>
        </w:rPr>
        <w:t xml:space="preserve"> </w:t>
      </w:r>
      <w:r>
        <w:rPr>
          <w:sz w:val="28"/>
        </w:rPr>
        <w:t>(пятьдесят семь тысяч девяносто девять) рублей.</w:t>
      </w:r>
    </w:p>
    <w:p>
      <w:pPr>
        <w:pStyle w:val="Normal"/>
        <w:numPr>
          <w:ilvl w:val="0"/>
          <w:numId w:val="0"/>
        </w:numPr>
        <w:ind w:left="13" w:right="13" w:hanging="0"/>
        <w:jc w:val="center"/>
        <w:outlineLvl w:val="0"/>
        <w:rPr>
          <w:color w:val="C9211E"/>
          <w:sz w:val="28"/>
        </w:rPr>
      </w:pPr>
      <w:r>
        <w:rPr>
          <w:color w:val="C9211E"/>
          <w:sz w:val="28"/>
        </w:rPr>
      </w:r>
    </w:p>
    <w:p>
      <w:pPr>
        <w:pStyle w:val="Normal"/>
        <w:numPr>
          <w:ilvl w:val="0"/>
          <w:numId w:val="0"/>
        </w:numPr>
        <w:ind w:left="13" w:right="13" w:hanging="0"/>
        <w:jc w:val="center"/>
        <w:outlineLvl w:val="0"/>
        <w:rPr>
          <w:color w:val="C9211E"/>
        </w:rPr>
      </w:pPr>
      <w:r>
        <w:rPr/>
      </w:r>
    </w:p>
    <w:sectPr>
      <w:type w:val="continuous"/>
      <w:pgSz w:w="11906" w:h="16838"/>
      <w:pgMar w:left="1134" w:right="567" w:gutter="0" w:header="709" w:top="1020"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XO Thames">
    <w:charset w:val="01"/>
    <w:family w:val="roman"/>
    <w:pitch w:val="variable"/>
  </w:font>
  <w:font w:name="Tahoma">
    <w:charset w:val="01"/>
    <w:family w:val="roman"/>
    <w:pitch w:val="variable"/>
  </w:font>
  <w:font w:name="Open Sans">
    <w:charset w:val="01"/>
    <w:family w:val="roman"/>
    <w:pitch w:val="variable"/>
  </w:font>
  <w:font w:name="Courier New">
    <w:charset w:val="01"/>
    <w:family w:val="roman"/>
    <w:pitch w:val="variable"/>
  </w:font>
  <w:font w:name="Calibri">
    <w:charset w:val="01"/>
    <w:family w:val="roman"/>
    <w:pitch w:val="variable"/>
  </w:font>
  <w:font w:name="Verdana">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8"/>
      </w:rPr>
    </w:pPr>
    <w:r>
      <w:rPr>
        <w:sz w:val="28"/>
      </w:rPr>
    </w:r>
    <w:r>
      <mc:AlternateContent>
        <mc:Choice Requires="wps">
          <w:drawing>
            <wp:anchor behindDoc="0" distT="0" distB="0" distL="0" distR="0" simplePos="0" locked="0" layoutInCell="0" allowOverlap="1" relativeHeight="23">
              <wp:simplePos x="0" y="0"/>
              <wp:positionH relativeFrom="margin">
                <wp:align>center</wp:align>
              </wp:positionH>
              <wp:positionV relativeFrom="paragraph">
                <wp:posOffset>635</wp:posOffset>
              </wp:positionV>
              <wp:extent cx="153035" cy="175260"/>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Normal"/>
                            <w:pBdr/>
                            <w:rPr/>
                          </w:pPr>
                          <w:r>
                            <w:rPr/>
                            <w:fldChar w:fldCharType="begin"/>
                          </w:r>
                          <w:r>
                            <w:rPr/>
                            <w:instrText xml:space="preserve"> PAGE </w:instrText>
                          </w:r>
                          <w:r>
                            <w:rPr/>
                            <w:fldChar w:fldCharType="separate"/>
                          </w:r>
                          <w:r>
                            <w:rPr/>
                            <w:t>21</w:t>
                          </w:r>
                          <w: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49.1pt;mso-position-horizontal:center;mso-position-horizontal-relative:margin">
              <v:fill opacity="0f"/>
              <v:textbox inset="0in,0in,0in,0in">
                <w:txbxContent>
                  <w:p>
                    <w:pPr>
                      <w:pStyle w:val="Normal"/>
                      <w:pBdr/>
                      <w:rPr/>
                    </w:pPr>
                    <w:r>
                      <w:rPr/>
                      <w:fldChar w:fldCharType="begin"/>
                    </w:r>
                    <w:r>
                      <w:rPr/>
                      <w:instrText xml:space="preserve"> PAGE </w:instrText>
                    </w:r>
                    <w:r>
                      <w:rPr/>
                      <w:fldChar w:fldCharType="separate"/>
                    </w:r>
                    <w:r>
                      <w:rPr/>
                      <w:t>21</w:t>
                    </w:r>
                    <w: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8"/>
      </w:rPr>
    </w:pPr>
    <w:r>
      <w:rPr>
        <w:sz w:val="28"/>
      </w:rPr>
    </w:r>
    <w:r>
      <mc:AlternateContent>
        <mc:Choice Requires="wps">
          <w:drawing>
            <wp:anchor behindDoc="0" distT="0" distB="0" distL="0" distR="0" simplePos="0" locked="0" layoutInCell="0" allowOverlap="1" relativeHeight="33">
              <wp:simplePos x="0" y="0"/>
              <wp:positionH relativeFrom="margin">
                <wp:align>center</wp:align>
              </wp:positionH>
              <wp:positionV relativeFrom="paragraph">
                <wp:posOffset>635</wp:posOffset>
              </wp:positionV>
              <wp:extent cx="153035" cy="175260"/>
              <wp:effectExtent l="0" t="0" r="0" b="0"/>
              <wp:wrapSquare wrapText="bothSides"/>
              <wp:docPr id="5" name="Врезка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Normal"/>
                            <w:pBdr/>
                            <w:rPr/>
                          </w:pPr>
                          <w:r>
                            <w:rPr/>
                            <w:fldChar w:fldCharType="begin"/>
                          </w:r>
                          <w:r>
                            <w:rPr/>
                            <w:instrText xml:space="preserve"> PAGE </w:instrText>
                          </w:r>
                          <w:r>
                            <w:rPr/>
                            <w:fldChar w:fldCharType="separate"/>
                          </w:r>
                          <w:r>
                            <w:rPr/>
                            <w:t>31</w:t>
                          </w:r>
                          <w: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49.1pt;mso-position-horizontal:center;mso-position-horizontal-relative:margin">
              <v:fill opacity="0f"/>
              <v:textbox inset="0in,0in,0in,0in">
                <w:txbxContent>
                  <w:p>
                    <w:pPr>
                      <w:pStyle w:val="Normal"/>
                      <w:pBdr/>
                      <w:rPr/>
                    </w:pPr>
                    <w:r>
                      <w:rPr/>
                      <w:fldChar w:fldCharType="begin"/>
                    </w:r>
                    <w:r>
                      <w:rPr/>
                      <w:instrText xml:space="preserve"> PAGE </w:instrText>
                    </w:r>
                    <w:r>
                      <w:rPr/>
                      <w:fldChar w:fldCharType="separate"/>
                    </w:r>
                    <w:r>
                      <w:rPr/>
                      <w:t>31</w:t>
                    </w:r>
                    <w: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353" w:hanging="360"/>
      </w:pPr>
      <w:rPr>
        <w:sz w:val="28"/>
        <w:color w:val="000000"/>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3">
    <w:lvl w:ilvl="0">
      <w:start w:val="1"/>
      <w:numFmt w:val="decimal"/>
      <w:lvlText w:val="%1)"/>
      <w:lvlJc w:val="left"/>
      <w:pPr>
        <w:tabs>
          <w:tab w:val="num" w:pos="1260"/>
        </w:tabs>
        <w:ind w:left="1260" w:hanging="360"/>
      </w:pPr>
      <w:rPr>
        <w:sz w:val="28"/>
      </w:rPr>
    </w:lvl>
    <w:lvl w:ilvl="1">
      <w:start w:val="1"/>
      <w:numFmt w:val="lowerLetter"/>
      <w:lvlText w:val="%2."/>
      <w:lvlJc w:val="left"/>
      <w:pPr>
        <w:tabs>
          <w:tab w:val="num" w:pos="1980"/>
        </w:tabs>
        <w:ind w:left="1980" w:hanging="360"/>
      </w:pPr>
      <w:rPr/>
    </w:lvl>
    <w:lvl w:ilvl="2">
      <w:start w:val="1"/>
      <w:numFmt w:val="lowerRoman"/>
      <w:lvlText w:val="%3."/>
      <w:lvlJc w:val="right"/>
      <w:pPr>
        <w:tabs>
          <w:tab w:val="num" w:pos="2700"/>
        </w:tabs>
        <w:ind w:left="2700" w:hanging="180"/>
      </w:pPr>
      <w:rPr/>
    </w:lvl>
    <w:lvl w:ilvl="3">
      <w:start w:val="1"/>
      <w:numFmt w:val="decimal"/>
      <w:lvlText w:val="%4."/>
      <w:lvlJc w:val="left"/>
      <w:pPr>
        <w:tabs>
          <w:tab w:val="num" w:pos="3420"/>
        </w:tabs>
        <w:ind w:left="3420" w:hanging="360"/>
      </w:pPr>
      <w:rPr/>
    </w:lvl>
    <w:lvl w:ilvl="4">
      <w:start w:val="1"/>
      <w:numFmt w:val="lowerLetter"/>
      <w:lvlText w:val="%5."/>
      <w:lvlJc w:val="left"/>
      <w:pPr>
        <w:tabs>
          <w:tab w:val="num" w:pos="4140"/>
        </w:tabs>
        <w:ind w:left="4140" w:hanging="360"/>
      </w:pPr>
      <w:rPr/>
    </w:lvl>
    <w:lvl w:ilvl="5">
      <w:start w:val="1"/>
      <w:numFmt w:val="lowerRoman"/>
      <w:lvlText w:val="%6."/>
      <w:lvlJc w:val="right"/>
      <w:pPr>
        <w:tabs>
          <w:tab w:val="num" w:pos="4860"/>
        </w:tabs>
        <w:ind w:left="4860" w:hanging="180"/>
      </w:pPr>
      <w:rPr/>
    </w:lvl>
    <w:lvl w:ilvl="6">
      <w:start w:val="1"/>
      <w:numFmt w:val="decimal"/>
      <w:lvlText w:val="%7."/>
      <w:lvlJc w:val="left"/>
      <w:pPr>
        <w:tabs>
          <w:tab w:val="num" w:pos="5580"/>
        </w:tabs>
        <w:ind w:left="5580" w:hanging="360"/>
      </w:pPr>
      <w:rPr/>
    </w:lvl>
    <w:lvl w:ilvl="7">
      <w:start w:val="1"/>
      <w:numFmt w:val="lowerLetter"/>
      <w:lvlText w:val="%8."/>
      <w:lvlJc w:val="left"/>
      <w:pPr>
        <w:tabs>
          <w:tab w:val="num" w:pos="6300"/>
        </w:tabs>
        <w:ind w:left="6300" w:hanging="360"/>
      </w:pPr>
      <w:rPr/>
    </w:lvl>
    <w:lvl w:ilvl="8">
      <w:start w:val="1"/>
      <w:numFmt w:val="lowerRoman"/>
      <w:lvlText w:val="%9."/>
      <w:lvlJc w:val="right"/>
      <w:pPr>
        <w:tabs>
          <w:tab w:val="num" w:pos="7020"/>
        </w:tabs>
        <w:ind w:left="7020" w:hanging="180"/>
      </w:pPr>
      <w:rPr/>
    </w:lvl>
  </w:abstractNum>
  <w:abstractNum w:abstractNumId="4">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5">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6">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7">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8">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9">
    <w:lvl w:ilvl="0">
      <w:start w:val="1"/>
      <w:numFmt w:val="bullet"/>
      <w:lvlText w:val=""/>
      <w:lvlJc w:val="left"/>
      <w:pPr>
        <w:tabs>
          <w:tab w:val="num" w:pos="1968"/>
        </w:tabs>
        <w:ind w:left="196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
    <w:name w:val="Heading 1"/>
    <w:uiPriority w:val="9"/>
    <w:qFormat/>
    <w:pPr>
      <w:widowControl/>
      <w:bidi w:val="0"/>
      <w:spacing w:lineRule="auto" w:line="240" w:before="0" w:after="0"/>
      <w:ind w:left="0" w:right="0" w:hanging="0"/>
      <w:jc w:val="left"/>
      <w:outlineLvl w:val="0"/>
    </w:pPr>
    <w:rPr>
      <w:rFonts w:ascii="Times New Roman" w:hAnsi="Times New Roman" w:eastAsia="Tahoma" w:cs="Lohit Devanagari"/>
      <w:b/>
      <w:color w:val="000000"/>
      <w:spacing w:val="0"/>
      <w:kern w:val="0"/>
      <w:sz w:val="28"/>
      <w:szCs w:val="20"/>
      <w:lang w:val="ru-RU" w:eastAsia="zh-CN" w:bidi="hi-IN"/>
    </w:rPr>
  </w:style>
  <w:style w:type="paragraph" w:styleId="2">
    <w:name w:val="Heading 2"/>
    <w:basedOn w:val="Normal"/>
    <w:next w:val="Normal"/>
    <w:uiPriority w:val="9"/>
    <w:qFormat/>
    <w:pPr>
      <w:keepNext w:val="true"/>
      <w:spacing w:before="240" w:after="60"/>
      <w:outlineLvl w:val="1"/>
    </w:pPr>
    <w:rPr>
      <w:rFonts w:ascii="Arial" w:hAnsi="Arial"/>
      <w:b/>
      <w:i/>
      <w:sz w:val="28"/>
    </w:rPr>
  </w:style>
  <w:style w:type="paragraph" w:styleId="3">
    <w:name w:val="Heading 3"/>
    <w:uiPriority w:val="9"/>
    <w:qFormat/>
    <w:pPr>
      <w:widowControl/>
      <w:bidi w:val="0"/>
      <w:spacing w:lineRule="auto" w:line="240" w:before="0" w:after="0"/>
      <w:ind w:left="0" w:right="0" w:hanging="0"/>
      <w:jc w:val="left"/>
      <w:outlineLvl w:val="2"/>
    </w:pPr>
    <w:rPr>
      <w:rFonts w:ascii="Cambria" w:hAnsi="Cambria" w:asciiTheme="majorAscii" w:hAnsiTheme="majorHAnsi" w:eastAsia="Tahoma" w:cs="Lohit Devanagari"/>
      <w:b/>
      <w:color w:val="4F81BD" w:themeColor="accent1"/>
      <w:spacing w:val="0"/>
      <w:kern w:val="0"/>
      <w:sz w:val="20"/>
      <w:szCs w:val="20"/>
      <w:lang w:val="ru-RU" w:eastAsia="zh-CN" w:bidi="hi-IN"/>
    </w:rPr>
  </w:style>
  <w:style w:type="paragraph" w:styleId="4">
    <w:name w:val="Heading 4"/>
    <w:next w:val="Normal"/>
    <w:uiPriority w:val="9"/>
    <w:qFormat/>
    <w:pPr>
      <w:widowControl/>
      <w:bidi w:val="0"/>
      <w:spacing w:lineRule="auto" w:line="240" w:before="120" w:after="120"/>
      <w:ind w:left="0" w:right="0" w:hanging="0"/>
      <w:jc w:val="both"/>
      <w:outlineLvl w:val="3"/>
    </w:pPr>
    <w:rPr>
      <w:rFonts w:ascii="XO Thames" w:hAnsi="XO Thames" w:eastAsia="Tahoma" w:cs="Lohit Devanagari"/>
      <w:b/>
      <w:color w:val="000000"/>
      <w:spacing w:val="0"/>
      <w:kern w:val="0"/>
      <w:sz w:val="24"/>
      <w:szCs w:val="20"/>
      <w:lang w:val="ru-RU" w:eastAsia="zh-CN" w:bidi="hi-IN"/>
    </w:rPr>
  </w:style>
  <w:style w:type="paragraph" w:styleId="5">
    <w:name w:val="Heading 5"/>
    <w:next w:val="Normal"/>
    <w:uiPriority w:val="9"/>
    <w:qFormat/>
    <w:pPr>
      <w:widowControl/>
      <w:bidi w:val="0"/>
      <w:spacing w:lineRule="auto" w:line="240" w:before="120" w:after="120"/>
      <w:ind w:left="0" w:right="0" w:hanging="0"/>
      <w:jc w:val="both"/>
      <w:outlineLvl w:val="4"/>
    </w:pPr>
    <w:rPr>
      <w:rFonts w:ascii="XO Thames" w:hAnsi="XO Thames" w:eastAsia="Tahoma" w:cs="Lohit Devanagari"/>
      <w:b/>
      <w:color w:val="000000"/>
      <w:spacing w:val="0"/>
      <w:kern w:val="0"/>
      <w:sz w:val="22"/>
      <w:szCs w:val="20"/>
      <w:lang w:val="ru-RU" w:eastAsia="zh-CN" w:bidi="hi-IN"/>
    </w:rPr>
  </w:style>
  <w:style w:type="character" w:styleId="11">
    <w:name w:val="Нижний колонтитул1"/>
    <w:link w:val="118"/>
    <w:qFormat/>
    <w:rPr/>
  </w:style>
  <w:style w:type="character" w:styleId="21">
    <w:name w:val="Гиперссылка2"/>
    <w:link w:val="28"/>
    <w:qFormat/>
    <w:rPr>
      <w:color w:val="0000FF"/>
      <w:u w:val="single"/>
    </w:rPr>
  </w:style>
  <w:style w:type="character" w:styleId="22">
    <w:name w:val="Основной текст (2)"/>
    <w:link w:val="29"/>
    <w:qFormat/>
    <w:rPr>
      <w:sz w:val="20"/>
    </w:rPr>
  </w:style>
  <w:style w:type="character" w:styleId="Contents2">
    <w:name w:val="Contents 2"/>
    <w:link w:val="Contents21"/>
    <w:qFormat/>
    <w:rPr>
      <w:rFonts w:ascii="XO Thames" w:hAnsi="XO Thames"/>
      <w:sz w:val="28"/>
    </w:rPr>
  </w:style>
  <w:style w:type="character" w:styleId="Contents4">
    <w:name w:val="Contents 4"/>
    <w:link w:val="Contents41"/>
    <w:qFormat/>
    <w:rPr>
      <w:rFonts w:ascii="XO Thames" w:hAnsi="XO Thames"/>
      <w:sz w:val="28"/>
    </w:rPr>
  </w:style>
  <w:style w:type="character" w:styleId="51">
    <w:name w:val="Заголовок 51"/>
    <w:link w:val="511"/>
    <w:qFormat/>
    <w:rPr>
      <w:rFonts w:ascii="XO Thames" w:hAnsi="XO Thames"/>
      <w:b/>
      <w:sz w:val="22"/>
    </w:rPr>
  </w:style>
  <w:style w:type="character" w:styleId="Contents6">
    <w:name w:val="Contents 6"/>
    <w:link w:val="Contents61"/>
    <w:qFormat/>
    <w:rPr>
      <w:rFonts w:ascii="XO Thames" w:hAnsi="XO Thames"/>
      <w:sz w:val="28"/>
    </w:rPr>
  </w:style>
  <w:style w:type="character" w:styleId="BalloonText">
    <w:name w:val="Balloon Text"/>
    <w:link w:val="BalloonText1"/>
    <w:qFormat/>
    <w:rPr>
      <w:rFonts w:ascii="Tahoma" w:hAnsi="Tahoma"/>
      <w:sz w:val="16"/>
    </w:rPr>
  </w:style>
  <w:style w:type="character" w:styleId="Contents7">
    <w:name w:val="Contents 7"/>
    <w:link w:val="Contents71"/>
    <w:qFormat/>
    <w:rPr>
      <w:rFonts w:ascii="XO Thames" w:hAnsi="XO Thames"/>
      <w:sz w:val="28"/>
    </w:rPr>
  </w:style>
  <w:style w:type="character" w:styleId="23">
    <w:name w:val="Название объекта2"/>
    <w:link w:val="212"/>
    <w:qFormat/>
    <w:rPr>
      <w:i/>
      <w:sz w:val="24"/>
    </w:rPr>
  </w:style>
  <w:style w:type="character" w:styleId="24">
    <w:name w:val="Основной шрифт абзаца2"/>
    <w:link w:val="213"/>
    <w:qFormat/>
    <w:rPr/>
  </w:style>
  <w:style w:type="character" w:styleId="25">
    <w:name w:val="Название2"/>
    <w:link w:val="214"/>
    <w:qFormat/>
    <w:rPr>
      <w:rFonts w:ascii="XO Thames" w:hAnsi="XO Thames"/>
      <w:b/>
      <w:caps/>
      <w:sz w:val="40"/>
    </w:rPr>
  </w:style>
  <w:style w:type="character" w:styleId="BodyText3">
    <w:name w:val="Body Text 3"/>
    <w:link w:val="BodyText31"/>
    <w:qFormat/>
    <w:rPr/>
  </w:style>
  <w:style w:type="character" w:styleId="Heading3">
    <w:name w:val="Heading 3"/>
    <w:qFormat/>
    <w:rPr>
      <w:rFonts w:ascii="Cambria" w:hAnsi="Cambria" w:asciiTheme="majorAscii" w:hAnsiTheme="majorHAnsi"/>
      <w:b/>
      <w:color w:val="4F81BD" w:themeColor="accent1"/>
    </w:rPr>
  </w:style>
  <w:style w:type="character" w:styleId="12">
    <w:name w:val="Подзаголовок1"/>
    <w:link w:val="119"/>
    <w:qFormat/>
    <w:rPr>
      <w:rFonts w:ascii="XO Thames" w:hAnsi="XO Thames"/>
      <w:i/>
      <w:sz w:val="24"/>
    </w:rPr>
  </w:style>
  <w:style w:type="character" w:styleId="31">
    <w:name w:val="Заголовок 31"/>
    <w:link w:val="311"/>
    <w:qFormat/>
    <w:rPr>
      <w:rFonts w:ascii="Cambria" w:hAnsi="Cambria" w:asciiTheme="majorAscii" w:hAnsiTheme="majorHAnsi"/>
      <w:b/>
      <w:color w:val="4F81BD" w:themeColor="accent1"/>
    </w:rPr>
  </w:style>
  <w:style w:type="character" w:styleId="Style9">
    <w:name w:val="Заголовок"/>
    <w:link w:val="Style19"/>
    <w:qFormat/>
    <w:rPr>
      <w:rFonts w:ascii="Open Sans" w:hAnsi="Open Sans"/>
      <w:sz w:val="28"/>
    </w:rPr>
  </w:style>
  <w:style w:type="character" w:styleId="Indexheading">
    <w:name w:val="index heading"/>
    <w:link w:val="Indexheading1"/>
    <w:qFormat/>
    <w:rPr/>
  </w:style>
  <w:style w:type="character" w:styleId="FR1">
    <w:name w:val="FR1"/>
    <w:link w:val="FR11"/>
    <w:qFormat/>
    <w:rPr>
      <w:b/>
      <w:sz w:val="56"/>
    </w:rPr>
  </w:style>
  <w:style w:type="character" w:styleId="32">
    <w:name w:val="Заголовок 3 Знак"/>
    <w:basedOn w:val="13"/>
    <w:link w:val="35"/>
    <w:qFormat/>
    <w:rPr>
      <w:rFonts w:ascii="Cambria" w:hAnsi="Cambria" w:asciiTheme="majorAscii" w:hAnsiTheme="majorHAnsi"/>
      <w:b/>
      <w:color w:val="4F81BD" w:themeColor="accent1"/>
      <w:sz w:val="24"/>
    </w:rPr>
  </w:style>
  <w:style w:type="character" w:styleId="26">
    <w:name w:val="Нижний колонтитул2"/>
    <w:link w:val="215"/>
    <w:qFormat/>
    <w:rPr>
      <w:rFonts w:ascii="Times New Roman" w:hAnsi="Times New Roman"/>
      <w:color w:val="000000"/>
      <w:spacing w:val="0"/>
      <w:sz w:val="20"/>
    </w:rPr>
  </w:style>
  <w:style w:type="character" w:styleId="Contents1">
    <w:name w:val="Contents 1"/>
    <w:link w:val="Contents11"/>
    <w:qFormat/>
    <w:rPr>
      <w:rFonts w:ascii="XO Thames" w:hAnsi="XO Thames"/>
      <w:b/>
      <w:sz w:val="28"/>
    </w:rPr>
  </w:style>
  <w:style w:type="character" w:styleId="27">
    <w:name w:val="Заголовок 2 Знак"/>
    <w:link w:val="216"/>
    <w:qFormat/>
    <w:rPr>
      <w:rFonts w:ascii="Arial" w:hAnsi="Arial"/>
      <w:b/>
      <w:i/>
      <w:sz w:val="28"/>
    </w:rPr>
  </w:style>
  <w:style w:type="character" w:styleId="Style10">
    <w:name w:val="Таблицы (моноширинный)"/>
    <w:link w:val="Style24"/>
    <w:qFormat/>
    <w:rPr>
      <w:rFonts w:ascii="Courier New" w:hAnsi="Courier New"/>
      <w:sz w:val="28"/>
    </w:rPr>
  </w:style>
  <w:style w:type="character" w:styleId="Footer">
    <w:name w:val="Footer"/>
    <w:qFormat/>
    <w:rPr/>
  </w:style>
  <w:style w:type="character" w:styleId="13">
    <w:name w:val="Основной шрифт абзаца1"/>
    <w:link w:val="120"/>
    <w:qFormat/>
    <w:rPr/>
  </w:style>
  <w:style w:type="character" w:styleId="Contents9">
    <w:name w:val="Contents 9"/>
    <w:link w:val="Contents91"/>
    <w:qFormat/>
    <w:rPr>
      <w:rFonts w:ascii="XO Thames" w:hAnsi="XO Thames"/>
      <w:sz w:val="28"/>
    </w:rPr>
  </w:style>
  <w:style w:type="character" w:styleId="14">
    <w:name w:val="Обычный1"/>
    <w:link w:val="122"/>
    <w:qFormat/>
    <w:rPr>
      <w:rFonts w:ascii="Times New Roman" w:hAnsi="Times New Roman"/>
      <w:color w:val="000000"/>
      <w:spacing w:val="0"/>
      <w:sz w:val="24"/>
    </w:rPr>
  </w:style>
  <w:style w:type="character" w:styleId="121">
    <w:name w:val="Заголовок 12"/>
    <w:link w:val="123"/>
    <w:qFormat/>
    <w:rPr>
      <w:rFonts w:ascii="Times New Roman" w:hAnsi="Times New Roman"/>
      <w:b/>
      <w:color w:val="000000"/>
      <w:spacing w:val="0"/>
      <w:sz w:val="28"/>
    </w:rPr>
  </w:style>
  <w:style w:type="character" w:styleId="33">
    <w:name w:val="Гиперссылка3"/>
    <w:link w:val="36"/>
    <w:qFormat/>
    <w:rPr>
      <w:color w:val="0000FF"/>
      <w:u w:val="single"/>
    </w:rPr>
  </w:style>
  <w:style w:type="character" w:styleId="Nobr">
    <w:name w:val="nobr"/>
    <w:basedOn w:val="13"/>
    <w:link w:val="Nobr1"/>
    <w:qFormat/>
    <w:rPr/>
  </w:style>
  <w:style w:type="character" w:styleId="ConsPlusNormal">
    <w:name w:val="ConsPlusNormal"/>
    <w:link w:val="ConsPlusNormal1"/>
    <w:qFormat/>
    <w:rPr>
      <w:rFonts w:ascii="Calibri" w:hAnsi="Calibri"/>
      <w:sz w:val="22"/>
    </w:rPr>
  </w:style>
  <w:style w:type="character" w:styleId="15">
    <w:name w:val="Указатель1"/>
    <w:basedOn w:val="14"/>
    <w:link w:val="124"/>
    <w:qFormat/>
    <w:rPr>
      <w:rFonts w:ascii="Times New Roman" w:hAnsi="Times New Roman"/>
      <w:color w:val="000000"/>
      <w:spacing w:val="0"/>
      <w:sz w:val="24"/>
    </w:rPr>
  </w:style>
  <w:style w:type="character" w:styleId="Header">
    <w:name w:val="Header"/>
    <w:qFormat/>
    <w:rPr/>
  </w:style>
  <w:style w:type="character" w:styleId="UnresolvedMention">
    <w:name w:val="Unresolved Mention"/>
    <w:basedOn w:val="13"/>
    <w:link w:val="UnresolvedMention1"/>
    <w:qFormat/>
    <w:rPr>
      <w:color w:val="605E5C"/>
      <w:shd w:fill="E1DFDD" w:val="clear"/>
    </w:rPr>
  </w:style>
  <w:style w:type="character" w:styleId="Style11">
    <w:name w:val="Заголовок таблицы"/>
    <w:basedOn w:val="Style18"/>
    <w:link w:val="Style29"/>
    <w:qFormat/>
    <w:rPr>
      <w:b/>
    </w:rPr>
  </w:style>
  <w:style w:type="character" w:styleId="Textbodyindent">
    <w:name w:val="Text body indent"/>
    <w:link w:val="Textbodyindent1"/>
    <w:qFormat/>
    <w:rPr/>
  </w:style>
  <w:style w:type="character" w:styleId="List">
    <w:name w:val="List"/>
    <w:basedOn w:val="Textbody"/>
    <w:qFormat/>
    <w:rPr/>
  </w:style>
  <w:style w:type="character" w:styleId="Blk">
    <w:name w:val="blk"/>
    <w:basedOn w:val="13"/>
    <w:link w:val="Blk1"/>
    <w:qFormat/>
    <w:rPr/>
  </w:style>
  <w:style w:type="character" w:styleId="Style12">
    <w:name w:val="Текст сноски Знак"/>
    <w:link w:val="Style30"/>
    <w:qFormat/>
    <w:rPr/>
  </w:style>
  <w:style w:type="character" w:styleId="16">
    <w:name w:val="Абзац списка1"/>
    <w:link w:val="125"/>
    <w:qFormat/>
    <w:rPr>
      <w:rFonts w:ascii="Calibri" w:hAnsi="Calibri"/>
      <w:sz w:val="22"/>
    </w:rPr>
  </w:style>
  <w:style w:type="character" w:styleId="17">
    <w:name w:val="Верхний колонтитул1"/>
    <w:link w:val="126"/>
    <w:qFormat/>
    <w:rPr/>
  </w:style>
  <w:style w:type="character" w:styleId="Contents3">
    <w:name w:val="Contents 3"/>
    <w:link w:val="Contents31"/>
    <w:qFormat/>
    <w:rPr>
      <w:rFonts w:ascii="XO Thames" w:hAnsi="XO Thames"/>
      <w:sz w:val="28"/>
    </w:rPr>
  </w:style>
  <w:style w:type="character" w:styleId="18">
    <w:name w:val="Строгий1"/>
    <w:basedOn w:val="13"/>
    <w:link w:val="127"/>
    <w:qFormat/>
    <w:rPr>
      <w:b/>
    </w:rPr>
  </w:style>
  <w:style w:type="character" w:styleId="52">
    <w:name w:val="Заголовок 5 Знак"/>
    <w:link w:val="53"/>
    <w:qFormat/>
    <w:rPr>
      <w:rFonts w:ascii="XO Thames" w:hAnsi="XO Thames"/>
      <w:b/>
      <w:sz w:val="22"/>
    </w:rPr>
  </w:style>
  <w:style w:type="character" w:styleId="Internetlink">
    <w:name w:val="Internet link"/>
    <w:link w:val="Internetlink1"/>
    <w:qFormat/>
    <w:rPr>
      <w:color w:val="0000FF"/>
      <w:u w:val="single"/>
    </w:rPr>
  </w:style>
  <w:style w:type="character" w:styleId="Contents5">
    <w:name w:val="Contents 5"/>
    <w:link w:val="Contents51"/>
    <w:qFormat/>
    <w:rPr>
      <w:rFonts w:ascii="XO Thames" w:hAnsi="XO Thames"/>
      <w:sz w:val="28"/>
    </w:rPr>
  </w:style>
  <w:style w:type="character" w:styleId="41">
    <w:name w:val="Заголовок 41"/>
    <w:link w:val="411"/>
    <w:qFormat/>
    <w:rPr>
      <w:rFonts w:ascii="XO Thames" w:hAnsi="XO Thames"/>
      <w:b/>
      <w:sz w:val="24"/>
    </w:rPr>
  </w:style>
  <w:style w:type="character" w:styleId="Style13">
    <w:name w:val="Верхний колонтитул Знак"/>
    <w:basedOn w:val="13"/>
    <w:link w:val="Style31"/>
    <w:qFormat/>
    <w:rPr>
      <w:sz w:val="24"/>
    </w:rPr>
  </w:style>
  <w:style w:type="character" w:styleId="Textbody">
    <w:name w:val="Text body"/>
    <w:link w:val="Textbody1"/>
    <w:qFormat/>
    <w:rPr>
      <w:b/>
    </w:rPr>
  </w:style>
  <w:style w:type="character" w:styleId="19">
    <w:name w:val="Название1"/>
    <w:link w:val="128"/>
    <w:qFormat/>
    <w:rPr>
      <w:rFonts w:ascii="XO Thames" w:hAnsi="XO Thames"/>
      <w:b/>
      <w:caps/>
      <w:sz w:val="40"/>
    </w:rPr>
  </w:style>
  <w:style w:type="character" w:styleId="Heading5">
    <w:name w:val="Heading 5"/>
    <w:qFormat/>
    <w:rPr>
      <w:rFonts w:ascii="XO Thames" w:hAnsi="XO Thames"/>
      <w:b/>
      <w:sz w:val="22"/>
    </w:rPr>
  </w:style>
  <w:style w:type="character" w:styleId="110">
    <w:name w:val="Номер страницы1"/>
    <w:basedOn w:val="13"/>
    <w:link w:val="129"/>
    <w:qFormat/>
    <w:rPr/>
  </w:style>
  <w:style w:type="character" w:styleId="111">
    <w:name w:val="Список1"/>
    <w:basedOn w:val="Textbody"/>
    <w:link w:val="130"/>
    <w:qFormat/>
    <w:rPr>
      <w:rFonts w:ascii="Times New Roman" w:hAnsi="Times New Roman"/>
      <w:b/>
      <w:color w:val="000000"/>
      <w:spacing w:val="0"/>
      <w:sz w:val="20"/>
    </w:rPr>
  </w:style>
  <w:style w:type="character" w:styleId="Heading1">
    <w:name w:val="Heading 1"/>
    <w:qFormat/>
    <w:rPr>
      <w:b/>
      <w:sz w:val="28"/>
    </w:rPr>
  </w:style>
  <w:style w:type="character" w:styleId="BodyTextIndent2">
    <w:name w:val="Body Text Indent 2"/>
    <w:link w:val="BodyTextIndent21"/>
    <w:qFormat/>
    <w:rPr/>
  </w:style>
  <w:style w:type="character" w:styleId="Style14">
    <w:name w:val="Hyperlink"/>
    <w:rPr>
      <w:color w:val="0000FF"/>
      <w:u w:val="single"/>
    </w:rPr>
  </w:style>
  <w:style w:type="character" w:styleId="Footnote">
    <w:name w:val="Footnote"/>
    <w:link w:val="Footnote1"/>
    <w:qFormat/>
    <w:rPr>
      <w:sz w:val="20"/>
    </w:rPr>
  </w:style>
  <w:style w:type="character" w:styleId="HeaderandFooter">
    <w:name w:val="Header and Footer"/>
    <w:qFormat/>
    <w:rPr>
      <w:rFonts w:ascii="XO Thames" w:hAnsi="XO Thames"/>
    </w:rPr>
  </w:style>
  <w:style w:type="character" w:styleId="Contents8">
    <w:name w:val="Contents 8"/>
    <w:link w:val="Contents81"/>
    <w:qFormat/>
    <w:rPr>
      <w:rFonts w:ascii="XO Thames" w:hAnsi="XO Thames"/>
      <w:sz w:val="28"/>
    </w:rPr>
  </w:style>
  <w:style w:type="character" w:styleId="112">
    <w:name w:val="Заголовок 11"/>
    <w:basedOn w:val="14"/>
    <w:link w:val="1110"/>
    <w:qFormat/>
    <w:rPr>
      <w:b/>
      <w:sz w:val="28"/>
    </w:rPr>
  </w:style>
  <w:style w:type="character" w:styleId="113">
    <w:name w:val="Название объекта1"/>
    <w:basedOn w:val="14"/>
    <w:link w:val="132"/>
    <w:qFormat/>
    <w:rPr>
      <w:i/>
    </w:rPr>
  </w:style>
  <w:style w:type="character" w:styleId="DefaultParagraphFont">
    <w:name w:val="Default Paragraph Font"/>
    <w:link w:val="DefaultParagraphFont1"/>
    <w:qFormat/>
    <w:rPr/>
  </w:style>
  <w:style w:type="character" w:styleId="Default">
    <w:name w:val="Default"/>
    <w:link w:val="Default1"/>
    <w:qFormat/>
    <w:rPr>
      <w:sz w:val="24"/>
    </w:rPr>
  </w:style>
  <w:style w:type="character" w:styleId="114">
    <w:name w:val="Гиперссылка1"/>
    <w:link w:val="133"/>
    <w:qFormat/>
    <w:rPr>
      <w:color w:val="0000FF"/>
      <w:u w:val="single"/>
    </w:rPr>
  </w:style>
  <w:style w:type="character" w:styleId="ListParagraph">
    <w:name w:val="List Paragraph"/>
    <w:link w:val="ListParagraph1"/>
    <w:qFormat/>
    <w:rPr/>
  </w:style>
  <w:style w:type="character" w:styleId="34">
    <w:name w:val="Стиль3 Знак"/>
    <w:basedOn w:val="BodyTextIndent2"/>
    <w:link w:val="38"/>
    <w:qFormat/>
    <w:rPr/>
  </w:style>
  <w:style w:type="character" w:styleId="Style15">
    <w:name w:val="Содержимое врезки"/>
    <w:link w:val="Style33"/>
    <w:qFormat/>
    <w:rPr/>
  </w:style>
  <w:style w:type="character" w:styleId="ConsPlusTitle">
    <w:name w:val="ConsPlusTitle"/>
    <w:link w:val="ConsPlusTitle1"/>
    <w:qFormat/>
    <w:rPr>
      <w:rFonts w:ascii="Arial" w:hAnsi="Arial"/>
      <w:b/>
    </w:rPr>
  </w:style>
  <w:style w:type="character" w:styleId="211">
    <w:name w:val="Заголовок 21"/>
    <w:link w:val="217"/>
    <w:qFormat/>
    <w:rPr>
      <w:rFonts w:ascii="Arial" w:hAnsi="Arial"/>
      <w:b/>
      <w:i/>
      <w:sz w:val="28"/>
    </w:rPr>
  </w:style>
  <w:style w:type="character" w:styleId="115">
    <w:name w:val="Знак сноски1"/>
    <w:link w:val="134"/>
    <w:qFormat/>
    <w:rPr>
      <w:vertAlign w:val="superscript"/>
    </w:rPr>
  </w:style>
  <w:style w:type="character" w:styleId="Subtitle">
    <w:name w:val="Subtitle"/>
    <w:qFormat/>
    <w:rPr>
      <w:rFonts w:ascii="XO Thames" w:hAnsi="XO Thames"/>
      <w:i/>
      <w:sz w:val="24"/>
    </w:rPr>
  </w:style>
  <w:style w:type="character" w:styleId="Style16">
    <w:name w:val="Символ сноски"/>
    <w:link w:val="Style35"/>
    <w:qFormat/>
    <w:rPr>
      <w:vertAlign w:val="superscript"/>
    </w:rPr>
  </w:style>
  <w:style w:type="character" w:styleId="116">
    <w:name w:val="Заголовок 1 Знак"/>
    <w:link w:val="135"/>
    <w:qFormat/>
    <w:rPr>
      <w:b/>
      <w:sz w:val="28"/>
    </w:rPr>
  </w:style>
  <w:style w:type="character" w:styleId="117">
    <w:name w:val="Знак1"/>
    <w:link w:val="136"/>
    <w:qFormat/>
    <w:rPr>
      <w:rFonts w:ascii="Verdana" w:hAnsi="Verdana"/>
      <w:sz w:val="20"/>
    </w:rPr>
  </w:style>
  <w:style w:type="character" w:styleId="Title">
    <w:name w:val="Title"/>
    <w:qFormat/>
    <w:rPr>
      <w:rFonts w:ascii="XO Thames" w:hAnsi="XO Thames"/>
      <w:b/>
      <w:caps/>
      <w:sz w:val="40"/>
    </w:rPr>
  </w:style>
  <w:style w:type="character" w:styleId="Heading4">
    <w:name w:val="Heading 4"/>
    <w:qFormat/>
    <w:rPr>
      <w:rFonts w:ascii="XO Thames" w:hAnsi="XO Thames"/>
      <w:b/>
      <w:sz w:val="24"/>
    </w:rPr>
  </w:style>
  <w:style w:type="character" w:styleId="Heading2">
    <w:name w:val="Heading 2"/>
    <w:qFormat/>
    <w:rPr>
      <w:rFonts w:ascii="Arial" w:hAnsi="Arial"/>
      <w:b/>
      <w:i/>
      <w:sz w:val="28"/>
    </w:rPr>
  </w:style>
  <w:style w:type="character" w:styleId="NormalWeb">
    <w:name w:val="Normal (Web)"/>
    <w:link w:val="NormalWeb1"/>
    <w:qFormat/>
    <w:rPr/>
  </w:style>
  <w:style w:type="character" w:styleId="Caption">
    <w:name w:val="caption"/>
    <w:link w:val="Caption1"/>
    <w:qFormat/>
    <w:rPr>
      <w:i/>
    </w:rPr>
  </w:style>
  <w:style w:type="character" w:styleId="Style17">
    <w:name w:val="Колонтитул"/>
    <w:link w:val="Style25"/>
    <w:qFormat/>
    <w:rPr>
      <w:rFonts w:ascii="XO Thames" w:hAnsi="XO Thames"/>
    </w:rPr>
  </w:style>
  <w:style w:type="character" w:styleId="Style18">
    <w:name w:val="Содержимое таблицы"/>
    <w:link w:val="Style28"/>
    <w:qFormat/>
    <w:rPr/>
  </w:style>
  <w:style w:type="paragraph" w:styleId="Style19">
    <w:name w:val="Заголовок"/>
    <w:basedOn w:val="Normal"/>
    <w:next w:val="Style20"/>
    <w:link w:val="Style9"/>
    <w:qFormat/>
    <w:pPr>
      <w:keepNext w:val="true"/>
      <w:spacing w:before="240" w:after="120"/>
    </w:pPr>
    <w:rPr>
      <w:rFonts w:ascii="Open Sans" w:hAnsi="Open Sans"/>
      <w:sz w:val="28"/>
    </w:rPr>
  </w:style>
  <w:style w:type="paragraph" w:styleId="Style20">
    <w:name w:val="Body Text"/>
    <w:basedOn w:val="Normal"/>
    <w:pPr>
      <w:jc w:val="both"/>
    </w:pPr>
    <w:rPr>
      <w:b/>
    </w:rPr>
  </w:style>
  <w:style w:type="paragraph" w:styleId="Style21">
    <w:name w:val="List"/>
    <w:basedOn w:val="Textbody1"/>
    <w:pPr/>
    <w:rPr/>
  </w:style>
  <w:style w:type="paragraph" w:styleId="Style22">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118">
    <w:name w:val="Нижний колонтитул1"/>
    <w:link w:val="11"/>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28">
    <w:name w:val="Гиперссылка2"/>
    <w:link w:val="21"/>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29">
    <w:name w:val="Основной текст (2)"/>
    <w:basedOn w:val="Normal"/>
    <w:link w:val="22"/>
    <w:qFormat/>
    <w:pPr>
      <w:widowControl w:val="false"/>
      <w:spacing w:lineRule="exact" w:line="408"/>
      <w:jc w:val="both"/>
    </w:pPr>
    <w:rPr>
      <w:sz w:val="20"/>
    </w:rPr>
  </w:style>
  <w:style w:type="paragraph" w:styleId="210">
    <w:name w:val="TOC 2"/>
    <w:next w:val="Normal"/>
    <w:uiPriority w:val="39"/>
    <w:pPr>
      <w:widowControl/>
      <w:bidi w:val="0"/>
      <w:spacing w:lineRule="auto" w:line="240" w:before="0" w:after="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42">
    <w:name w:val="TOC 4"/>
    <w:next w:val="Normal"/>
    <w:uiPriority w:val="39"/>
    <w:pPr>
      <w:widowControl/>
      <w:bidi w:val="0"/>
      <w:spacing w:lineRule="auto" w:line="240" w:before="0" w:after="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511">
    <w:name w:val="Заголовок 51"/>
    <w:link w:val="51"/>
    <w:qFormat/>
    <w:pPr>
      <w:widowControl/>
      <w:bidi w:val="0"/>
      <w:spacing w:lineRule="auto" w:line="240" w:before="0" w:after="0"/>
      <w:ind w:left="0" w:right="0" w:hanging="0"/>
      <w:jc w:val="left"/>
    </w:pPr>
    <w:rPr>
      <w:rFonts w:ascii="XO Thames" w:hAnsi="XO Thames" w:eastAsia="Tahoma" w:cs="Lohit Devanagari"/>
      <w:b/>
      <w:color w:val="000000"/>
      <w:spacing w:val="0"/>
      <w:kern w:val="0"/>
      <w:sz w:val="22"/>
      <w:szCs w:val="20"/>
      <w:lang w:val="ru-RU" w:eastAsia="zh-CN" w:bidi="hi-IN"/>
    </w:rPr>
  </w:style>
  <w:style w:type="paragraph" w:styleId="6">
    <w:name w:val="TOC 6"/>
    <w:next w:val="Normal"/>
    <w:uiPriority w:val="39"/>
    <w:pPr>
      <w:widowControl/>
      <w:bidi w:val="0"/>
      <w:spacing w:lineRule="auto" w:line="240" w:before="0" w:after="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BalloonText1">
    <w:name w:val="Balloon Text"/>
    <w:basedOn w:val="Normal"/>
    <w:link w:val="BalloonText"/>
    <w:qFormat/>
    <w:pPr/>
    <w:rPr>
      <w:rFonts w:ascii="Tahoma" w:hAnsi="Tahoma"/>
      <w:sz w:val="16"/>
    </w:rPr>
  </w:style>
  <w:style w:type="paragraph" w:styleId="7">
    <w:name w:val="TOC 7"/>
    <w:next w:val="Normal"/>
    <w:uiPriority w:val="39"/>
    <w:pPr>
      <w:widowControl/>
      <w:bidi w:val="0"/>
      <w:spacing w:lineRule="auto" w:line="240" w:before="0" w:after="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212">
    <w:name w:val="Название объекта2"/>
    <w:link w:val="23"/>
    <w:qFormat/>
    <w:pPr>
      <w:widowControl/>
      <w:bidi w:val="0"/>
      <w:spacing w:lineRule="auto" w:line="240" w:before="0" w:after="0"/>
      <w:ind w:left="0" w:right="0" w:hanging="0"/>
      <w:jc w:val="left"/>
    </w:pPr>
    <w:rPr>
      <w:rFonts w:ascii="Times New Roman" w:hAnsi="Times New Roman" w:eastAsia="Tahoma" w:cs="Lohit Devanagari"/>
      <w:i/>
      <w:color w:val="000000"/>
      <w:spacing w:val="0"/>
      <w:kern w:val="0"/>
      <w:sz w:val="24"/>
      <w:szCs w:val="20"/>
      <w:lang w:val="ru-RU" w:eastAsia="zh-CN" w:bidi="hi-IN"/>
    </w:rPr>
  </w:style>
  <w:style w:type="paragraph" w:styleId="213">
    <w:name w:val="Основной шрифт абзаца2"/>
    <w:link w:val="24"/>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214">
    <w:name w:val="Название2"/>
    <w:link w:val="25"/>
    <w:qFormat/>
    <w:pPr>
      <w:widowControl/>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BodyText31">
    <w:name w:val="Body Text 3"/>
    <w:basedOn w:val="Normal"/>
    <w:link w:val="BodyText3"/>
    <w:qFormat/>
    <w:pPr>
      <w:jc w:val="both"/>
    </w:pPr>
    <w:rPr/>
  </w:style>
  <w:style w:type="paragraph" w:styleId="119">
    <w:name w:val="Подзаголовок1"/>
    <w:link w:val="12"/>
    <w:qFormat/>
    <w:pPr>
      <w:widowControl/>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311">
    <w:name w:val="Заголовок 31"/>
    <w:link w:val="31"/>
    <w:qFormat/>
    <w:pPr>
      <w:widowControl/>
      <w:bidi w:val="0"/>
      <w:spacing w:lineRule="auto" w:line="240" w:before="0" w:after="0"/>
      <w:ind w:left="0" w:right="0" w:hanging="0"/>
      <w:jc w:val="left"/>
    </w:pPr>
    <w:rPr>
      <w:rFonts w:ascii="Cambria" w:hAnsi="Cambria" w:asciiTheme="majorAscii" w:hAnsiTheme="majorHAnsi" w:eastAsia="Tahoma" w:cs="Lohit Devanagari"/>
      <w:b/>
      <w:color w:val="4F81BD" w:themeColor="accent1"/>
      <w:spacing w:val="0"/>
      <w:kern w:val="0"/>
      <w:sz w:val="20"/>
      <w:szCs w:val="20"/>
      <w:lang w:val="ru-RU" w:eastAsia="zh-CN" w:bidi="hi-IN"/>
    </w:rPr>
  </w:style>
  <w:style w:type="paragraph" w:styleId="Indexheading1">
    <w:name w:val="index heading"/>
    <w:basedOn w:val="Normal"/>
    <w:link w:val="Indexheading"/>
    <w:qFormat/>
    <w:pPr/>
    <w:rPr/>
  </w:style>
  <w:style w:type="paragraph" w:styleId="Contents61">
    <w:name w:val="Contents 6"/>
    <w:link w:val="Contents6"/>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FR11">
    <w:name w:val="FR1"/>
    <w:link w:val="FR1"/>
    <w:qFormat/>
    <w:pPr>
      <w:widowControl w:val="false"/>
      <w:bidi w:val="0"/>
      <w:spacing w:lineRule="auto" w:line="300" w:before="3960" w:after="0"/>
      <w:ind w:left="0" w:right="0" w:hanging="0"/>
      <w:jc w:val="center"/>
    </w:pPr>
    <w:rPr>
      <w:rFonts w:ascii="Times New Roman" w:hAnsi="Times New Roman" w:eastAsia="Tahoma" w:cs="Lohit Devanagari"/>
      <w:b/>
      <w:color w:val="000000"/>
      <w:spacing w:val="0"/>
      <w:kern w:val="0"/>
      <w:sz w:val="56"/>
      <w:szCs w:val="20"/>
      <w:lang w:val="ru-RU" w:eastAsia="zh-CN" w:bidi="hi-IN"/>
    </w:rPr>
  </w:style>
  <w:style w:type="paragraph" w:styleId="35">
    <w:name w:val="Заголовок 3 Знак"/>
    <w:basedOn w:val="120"/>
    <w:link w:val="32"/>
    <w:qFormat/>
    <w:pPr/>
    <w:rPr>
      <w:rFonts w:ascii="Cambria" w:hAnsi="Cambria" w:asciiTheme="majorAscii" w:hAnsiTheme="majorHAnsi"/>
      <w:b/>
      <w:color w:val="4F81BD" w:themeColor="accent1"/>
      <w:sz w:val="24"/>
    </w:rPr>
  </w:style>
  <w:style w:type="paragraph" w:styleId="215">
    <w:name w:val="Нижний колонтитул2"/>
    <w:link w:val="26"/>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11">
    <w:name w:val="Contents 1"/>
    <w:link w:val="Contents1"/>
    <w:qFormat/>
    <w:pPr>
      <w:widowControl/>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216">
    <w:name w:val="Заголовок 2 Знак"/>
    <w:link w:val="27"/>
    <w:qFormat/>
    <w:pPr>
      <w:widowControl/>
      <w:bidi w:val="0"/>
      <w:spacing w:lineRule="auto" w:line="240" w:before="0" w:after="0"/>
      <w:ind w:left="0" w:right="0" w:hanging="0"/>
      <w:jc w:val="left"/>
    </w:pPr>
    <w:rPr>
      <w:rFonts w:ascii="Arial" w:hAnsi="Arial" w:eastAsia="Tahoma" w:cs="Lohit Devanagari"/>
      <w:b/>
      <w:i/>
      <w:color w:val="000000"/>
      <w:spacing w:val="0"/>
      <w:kern w:val="0"/>
      <w:sz w:val="28"/>
      <w:szCs w:val="20"/>
      <w:lang w:val="ru-RU" w:eastAsia="zh-CN" w:bidi="hi-IN"/>
    </w:rPr>
  </w:style>
  <w:style w:type="paragraph" w:styleId="Style24">
    <w:name w:val="Таблицы (моноширинный)"/>
    <w:basedOn w:val="Normal"/>
    <w:next w:val="Normal"/>
    <w:link w:val="Style10"/>
    <w:qFormat/>
    <w:pPr>
      <w:widowControl w:val="false"/>
      <w:jc w:val="both"/>
    </w:pPr>
    <w:rPr>
      <w:rFonts w:ascii="Courier New" w:hAnsi="Courier New"/>
      <w:sz w:val="28"/>
    </w:rPr>
  </w:style>
  <w:style w:type="paragraph" w:styleId="Style25">
    <w:name w:val="Колонтитул"/>
    <w:link w:val="Style17"/>
    <w:qFormat/>
    <w:pPr>
      <w:widowControl/>
      <w:bidi w:val="0"/>
      <w:spacing w:lineRule="auto" w:line="240" w:before="0" w:after="0"/>
      <w:ind w:left="0" w:right="0" w:hanging="0"/>
      <w:jc w:val="left"/>
    </w:pPr>
    <w:rPr>
      <w:rFonts w:ascii="XO Thames" w:hAnsi="XO Thames" w:eastAsia="Tahoma" w:cs="Lohit Devanagari"/>
      <w:color w:val="000000"/>
      <w:spacing w:val="0"/>
      <w:kern w:val="0"/>
      <w:sz w:val="20"/>
      <w:szCs w:val="20"/>
      <w:lang w:val="ru-RU" w:eastAsia="zh-CN" w:bidi="hi-IN"/>
    </w:rPr>
  </w:style>
  <w:style w:type="paragraph" w:styleId="Style26">
    <w:name w:val="Footer"/>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20">
    <w:name w:val="Основной шрифт абзаца1"/>
    <w:link w:val="13"/>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91">
    <w:name w:val="Contents 9"/>
    <w:link w:val="Contents9"/>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22">
    <w:name w:val="Обычный1"/>
    <w:link w:val="14"/>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23">
    <w:name w:val="Заголовок 12"/>
    <w:link w:val="121"/>
    <w:qFormat/>
    <w:pPr>
      <w:widowControl/>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36">
    <w:name w:val="Гиперссылка3"/>
    <w:link w:val="33"/>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Nobr1">
    <w:name w:val="nobr"/>
    <w:basedOn w:val="120"/>
    <w:link w:val="Nobr"/>
    <w:qFormat/>
    <w:pPr/>
    <w:rPr/>
  </w:style>
  <w:style w:type="paragraph" w:styleId="ConsPlusNormal1">
    <w:name w:val="ConsPlusNormal"/>
    <w:link w:val="ConsPlusNormal"/>
    <w:qFormat/>
    <w:pPr>
      <w:widowControl w:val="fals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124">
    <w:name w:val="Указатель1"/>
    <w:basedOn w:val="122"/>
    <w:link w:val="15"/>
    <w:qFormat/>
    <w:pPr/>
    <w:rPr>
      <w:rFonts w:ascii="Times New Roman" w:hAnsi="Times New Roman"/>
      <w:color w:val="000000"/>
      <w:spacing w:val="0"/>
      <w:sz w:val="24"/>
    </w:rPr>
  </w:style>
  <w:style w:type="paragraph" w:styleId="Style27">
    <w:name w:val="Header"/>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UnresolvedMention1">
    <w:name w:val="Unresolved Mention"/>
    <w:basedOn w:val="120"/>
    <w:link w:val="UnresolvedMention"/>
    <w:qFormat/>
    <w:pPr/>
    <w:rPr>
      <w:color w:val="605E5C"/>
      <w:shd w:fill="E1DFDD" w:val="clear"/>
    </w:rPr>
  </w:style>
  <w:style w:type="paragraph" w:styleId="Style28">
    <w:name w:val="Содержимое таблицы"/>
    <w:basedOn w:val="Normal"/>
    <w:link w:val="Style18"/>
    <w:qFormat/>
    <w:pPr>
      <w:widowControl w:val="false"/>
    </w:pPr>
    <w:rPr/>
  </w:style>
  <w:style w:type="paragraph" w:styleId="Style29">
    <w:name w:val="Заголовок таблицы"/>
    <w:basedOn w:val="Style28"/>
    <w:link w:val="Style11"/>
    <w:qFormat/>
    <w:pPr>
      <w:jc w:val="center"/>
    </w:pPr>
    <w:rPr>
      <w:b/>
    </w:rPr>
  </w:style>
  <w:style w:type="paragraph" w:styleId="Textbodyindent1">
    <w:name w:val="Text body indent"/>
    <w:link w:val="Textbodyinden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Blk1">
    <w:name w:val="blk"/>
    <w:basedOn w:val="120"/>
    <w:link w:val="Blk"/>
    <w:qFormat/>
    <w:pPr/>
    <w:rPr/>
  </w:style>
  <w:style w:type="paragraph" w:styleId="Contents41">
    <w:name w:val="Contents 4"/>
    <w:link w:val="Contents4"/>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Style30">
    <w:name w:val="Текст сноски Знак"/>
    <w:link w:val="Style12"/>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25">
    <w:name w:val="Абзац списка1"/>
    <w:basedOn w:val="Normal"/>
    <w:link w:val="16"/>
    <w:qFormat/>
    <w:pPr>
      <w:spacing w:lineRule="auto" w:line="276" w:before="0" w:after="200"/>
      <w:ind w:left="720" w:right="0" w:hanging="0"/>
      <w:contextualSpacing/>
    </w:pPr>
    <w:rPr>
      <w:rFonts w:ascii="Calibri" w:hAnsi="Calibri"/>
      <w:sz w:val="22"/>
    </w:rPr>
  </w:style>
  <w:style w:type="paragraph" w:styleId="126">
    <w:name w:val="Верхний колонтитул1"/>
    <w:link w:val="17"/>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37">
    <w:name w:val="TOC 3"/>
    <w:next w:val="Normal"/>
    <w:uiPriority w:val="39"/>
    <w:pPr>
      <w:widowControl/>
      <w:bidi w:val="0"/>
      <w:spacing w:lineRule="auto" w:line="240" w:before="0" w:after="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127">
    <w:name w:val="Строгий1"/>
    <w:basedOn w:val="120"/>
    <w:link w:val="18"/>
    <w:qFormat/>
    <w:pPr/>
    <w:rPr>
      <w:b/>
    </w:rPr>
  </w:style>
  <w:style w:type="paragraph" w:styleId="53">
    <w:name w:val="Заголовок 5 Знак"/>
    <w:link w:val="52"/>
    <w:qFormat/>
    <w:pPr>
      <w:widowControl/>
      <w:bidi w:val="0"/>
      <w:spacing w:lineRule="auto" w:line="240" w:before="0" w:after="0"/>
      <w:ind w:left="0" w:right="0" w:hanging="0"/>
      <w:jc w:val="left"/>
    </w:pPr>
    <w:rPr>
      <w:rFonts w:ascii="XO Thames" w:hAnsi="XO Thames" w:eastAsia="Tahoma" w:cs="Lohit Devanagari"/>
      <w:b/>
      <w:color w:val="000000"/>
      <w:spacing w:val="0"/>
      <w:kern w:val="0"/>
      <w:sz w:val="22"/>
      <w:szCs w:val="20"/>
      <w:lang w:val="ru-RU" w:eastAsia="zh-CN" w:bidi="hi-IN"/>
    </w:rPr>
  </w:style>
  <w:style w:type="paragraph" w:styleId="Internetlink1">
    <w:name w:val="Internet link"/>
    <w:link w:val="Internetlink"/>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Contents51">
    <w:name w:val="Contents 5"/>
    <w:link w:val="Contents5"/>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411">
    <w:name w:val="Заголовок 41"/>
    <w:link w:val="41"/>
    <w:qFormat/>
    <w:pPr>
      <w:widowControl/>
      <w:bidi w:val="0"/>
      <w:spacing w:lineRule="auto" w:line="240" w:before="0" w:after="0"/>
      <w:ind w:left="0" w:right="0" w:hanging="0"/>
      <w:jc w:val="left"/>
    </w:pPr>
    <w:rPr>
      <w:rFonts w:ascii="XO Thames" w:hAnsi="XO Thames" w:eastAsia="Tahoma" w:cs="Lohit Devanagari"/>
      <w:b/>
      <w:color w:val="000000"/>
      <w:spacing w:val="0"/>
      <w:kern w:val="0"/>
      <w:sz w:val="24"/>
      <w:szCs w:val="20"/>
      <w:lang w:val="ru-RU" w:eastAsia="zh-CN" w:bidi="hi-IN"/>
    </w:rPr>
  </w:style>
  <w:style w:type="paragraph" w:styleId="Style31">
    <w:name w:val="Верхний колонтитул Знак"/>
    <w:basedOn w:val="120"/>
    <w:link w:val="Style13"/>
    <w:qFormat/>
    <w:pPr/>
    <w:rPr>
      <w:sz w:val="24"/>
    </w:rPr>
  </w:style>
  <w:style w:type="paragraph" w:styleId="128">
    <w:name w:val="Название1"/>
    <w:link w:val="19"/>
    <w:qFormat/>
    <w:pPr>
      <w:widowControl/>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Contents71">
    <w:name w:val="Contents 7"/>
    <w:link w:val="Contents7"/>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29">
    <w:name w:val="Номер страницы1"/>
    <w:basedOn w:val="120"/>
    <w:link w:val="110"/>
    <w:qFormat/>
    <w:pPr/>
    <w:rPr/>
  </w:style>
  <w:style w:type="paragraph" w:styleId="Style32">
    <w:name w:val="Body Text Indent"/>
    <w:basedOn w:val="Normal"/>
    <w:pPr>
      <w:spacing w:before="0" w:after="120"/>
      <w:ind w:left="283" w:right="0" w:hanging="0"/>
    </w:pPr>
    <w:rPr/>
  </w:style>
  <w:style w:type="paragraph" w:styleId="130">
    <w:name w:val="Список1"/>
    <w:basedOn w:val="Textbody1"/>
    <w:link w:val="111"/>
    <w:qFormat/>
    <w:pPr/>
    <w:rPr>
      <w:rFonts w:ascii="Times New Roman" w:hAnsi="Times New Roman"/>
      <w:b/>
      <w:color w:val="000000"/>
      <w:spacing w:val="0"/>
      <w:sz w:val="20"/>
    </w:rPr>
  </w:style>
  <w:style w:type="paragraph" w:styleId="BodyTextIndent21">
    <w:name w:val="Body Text Indent 2"/>
    <w:basedOn w:val="Normal"/>
    <w:link w:val="BodyTextIndent2"/>
    <w:qFormat/>
    <w:pPr>
      <w:spacing w:lineRule="auto" w:line="480" w:before="0" w:after="120"/>
      <w:ind w:left="283" w:right="0" w:hanging="0"/>
    </w:pPr>
    <w:rPr/>
  </w:style>
  <w:style w:type="paragraph" w:styleId="Footnote1">
    <w:name w:val="Footnote"/>
    <w:basedOn w:val="Normal"/>
    <w:link w:val="Footnote"/>
    <w:qFormat/>
    <w:pPr/>
    <w:rPr>
      <w:sz w:val="20"/>
    </w:rPr>
  </w:style>
  <w:style w:type="paragraph" w:styleId="131">
    <w:name w:val="TOC 1"/>
    <w:next w:val="Normal"/>
    <w:uiPriority w:val="39"/>
    <w:pPr>
      <w:widowControl/>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Contents81">
    <w:name w:val="Contents 8"/>
    <w:link w:val="Contents8"/>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110">
    <w:name w:val="Заголовок 11"/>
    <w:basedOn w:val="122"/>
    <w:link w:val="112"/>
    <w:qFormat/>
    <w:pPr/>
    <w:rPr>
      <w:b/>
      <w:sz w:val="28"/>
    </w:rPr>
  </w:style>
  <w:style w:type="paragraph" w:styleId="9">
    <w:name w:val="TOC 9"/>
    <w:next w:val="Normal"/>
    <w:uiPriority w:val="39"/>
    <w:pPr>
      <w:widowControl/>
      <w:bidi w:val="0"/>
      <w:spacing w:lineRule="auto" w:line="240" w:before="0" w:after="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Contents21">
    <w:name w:val="Contents 2"/>
    <w:link w:val="Contents2"/>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8">
    <w:name w:val="TOC 8"/>
    <w:next w:val="Normal"/>
    <w:uiPriority w:val="39"/>
    <w:pPr>
      <w:widowControl/>
      <w:bidi w:val="0"/>
      <w:spacing w:lineRule="auto" w:line="240" w:before="0" w:after="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132">
    <w:name w:val="Название объекта1"/>
    <w:basedOn w:val="122"/>
    <w:link w:val="113"/>
    <w:qFormat/>
    <w:pPr/>
    <w:rPr>
      <w:i/>
    </w:rPr>
  </w:style>
  <w:style w:type="paragraph" w:styleId="DefaultParagraphFont1">
    <w:name w:val="Default Paragraph Font"/>
    <w:link w:val="DefaultParagraphFon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31">
    <w:name w:val="Contents 3"/>
    <w:link w:val="Contents3"/>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Default1">
    <w:name w:val="Default"/>
    <w:link w:val="Defaul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33">
    <w:name w:val="Гиперссылка1"/>
    <w:link w:val="114"/>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Textbody1">
    <w:name w:val="Text body"/>
    <w:link w:val="Textbody"/>
    <w:qFormat/>
    <w:pPr>
      <w:widowControl/>
      <w:bidi w:val="0"/>
      <w:spacing w:lineRule="auto" w:line="240" w:before="0" w:after="0"/>
      <w:ind w:left="0" w:right="0" w:hanging="0"/>
      <w:jc w:val="left"/>
    </w:pPr>
    <w:rPr>
      <w:rFonts w:ascii="Times New Roman" w:hAnsi="Times New Roman" w:eastAsia="Tahoma" w:cs="Lohit Devanagari"/>
      <w:b/>
      <w:color w:val="000000"/>
      <w:spacing w:val="0"/>
      <w:kern w:val="0"/>
      <w:sz w:val="20"/>
      <w:szCs w:val="20"/>
      <w:lang w:val="ru-RU" w:eastAsia="zh-CN" w:bidi="hi-IN"/>
    </w:rPr>
  </w:style>
  <w:style w:type="paragraph" w:styleId="54">
    <w:name w:val="TOC 5"/>
    <w:next w:val="Normal"/>
    <w:uiPriority w:val="39"/>
    <w:pPr>
      <w:widowControl/>
      <w:bidi w:val="0"/>
      <w:spacing w:lineRule="auto" w:line="240" w:before="0" w:after="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ListParagraph1">
    <w:name w:val="List Paragraph"/>
    <w:basedOn w:val="Normal"/>
    <w:link w:val="ListParagraph"/>
    <w:qFormat/>
    <w:pPr>
      <w:spacing w:before="0" w:after="0"/>
      <w:ind w:left="720" w:right="0" w:hanging="0"/>
      <w:contextualSpacing/>
    </w:pPr>
    <w:rPr/>
  </w:style>
  <w:style w:type="paragraph" w:styleId="38">
    <w:name w:val="Стиль3 Знак"/>
    <w:basedOn w:val="BodyTextIndent21"/>
    <w:link w:val="34"/>
    <w:qFormat/>
    <w:pPr>
      <w:widowControl w:val="false"/>
      <w:tabs>
        <w:tab w:val="clear" w:pos="708"/>
        <w:tab w:val="left" w:pos="968" w:leader="none"/>
      </w:tabs>
      <w:spacing w:lineRule="auto" w:line="240" w:before="0" w:after="0"/>
      <w:ind w:left="741" w:right="0" w:hanging="0"/>
      <w:jc w:val="both"/>
    </w:pPr>
    <w:rPr/>
  </w:style>
  <w:style w:type="paragraph" w:styleId="Style33">
    <w:name w:val="Содержимое врезки"/>
    <w:basedOn w:val="Normal"/>
    <w:link w:val="Style15"/>
    <w:qFormat/>
    <w:pPr/>
    <w:rPr/>
  </w:style>
  <w:style w:type="paragraph" w:styleId="ConsPlusTitle1">
    <w:name w:val="ConsPlusTitle"/>
    <w:link w:val="ConsPlusTitle"/>
    <w:qFormat/>
    <w:pPr>
      <w:widowControl w:val="false"/>
      <w:bidi w:val="0"/>
      <w:spacing w:lineRule="auto" w:line="240" w:before="0" w:after="0"/>
      <w:ind w:left="0" w:right="0" w:hanging="0"/>
      <w:jc w:val="left"/>
    </w:pPr>
    <w:rPr>
      <w:rFonts w:ascii="Arial" w:hAnsi="Arial" w:eastAsia="Tahoma" w:cs="Lohit Devanagari"/>
      <w:b/>
      <w:color w:val="000000"/>
      <w:spacing w:val="0"/>
      <w:kern w:val="0"/>
      <w:sz w:val="20"/>
      <w:szCs w:val="20"/>
      <w:lang w:val="ru-RU" w:eastAsia="zh-CN" w:bidi="hi-IN"/>
    </w:rPr>
  </w:style>
  <w:style w:type="paragraph" w:styleId="217">
    <w:name w:val="Заголовок 21"/>
    <w:link w:val="211"/>
    <w:qFormat/>
    <w:pPr>
      <w:widowControl/>
      <w:bidi w:val="0"/>
      <w:spacing w:lineRule="auto" w:line="240" w:before="0" w:after="0"/>
      <w:ind w:left="0" w:right="0" w:hanging="0"/>
      <w:jc w:val="left"/>
    </w:pPr>
    <w:rPr>
      <w:rFonts w:ascii="Arial" w:hAnsi="Arial" w:eastAsia="Tahoma" w:cs="Lohit Devanagari"/>
      <w:b/>
      <w:i/>
      <w:color w:val="000000"/>
      <w:spacing w:val="0"/>
      <w:kern w:val="0"/>
      <w:sz w:val="28"/>
      <w:szCs w:val="20"/>
      <w:lang w:val="ru-RU" w:eastAsia="zh-CN" w:bidi="hi-IN"/>
    </w:rPr>
  </w:style>
  <w:style w:type="paragraph" w:styleId="134">
    <w:name w:val="Знак сноски1"/>
    <w:link w:val="115"/>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Style34">
    <w:name w:val="Subtitle"/>
    <w:uiPriority w:val="11"/>
    <w:qFormat/>
    <w:pPr>
      <w:widowControl/>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Style35">
    <w:name w:val="Символ сноски"/>
    <w:link w:val="Style16"/>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135">
    <w:name w:val="Заголовок 1 Знак"/>
    <w:link w:val="116"/>
    <w:qFormat/>
    <w:pPr>
      <w:widowControl/>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136">
    <w:name w:val="Знак1"/>
    <w:basedOn w:val="Normal"/>
    <w:link w:val="117"/>
    <w:qFormat/>
    <w:pPr>
      <w:spacing w:lineRule="exact" w:line="240" w:before="0" w:after="160"/>
    </w:pPr>
    <w:rPr>
      <w:rFonts w:ascii="Verdana" w:hAnsi="Verdana"/>
      <w:sz w:val="20"/>
    </w:rPr>
  </w:style>
  <w:style w:type="paragraph" w:styleId="Style36">
    <w:name w:val="Title"/>
    <w:uiPriority w:val="10"/>
    <w:qFormat/>
    <w:pPr>
      <w:widowControl/>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NormalWeb1">
    <w:name w:val="Normal (Web)"/>
    <w:basedOn w:val="Normal"/>
    <w:link w:val="NormalWeb"/>
    <w:qFormat/>
    <w:pPr>
      <w:spacing w:beforeAutospacing="1" w:afterAutospacing="1"/>
    </w:pPr>
    <w:rPr/>
  </w:style>
  <w:style w:type="paragraph" w:styleId="Caption1">
    <w:name w:val="caption"/>
    <w:basedOn w:val="Normal"/>
    <w:link w:val="Caption"/>
    <w:qFormat/>
    <w:pPr>
      <w:spacing w:before="120" w:after="120"/>
    </w:pPr>
    <w:rPr>
      <w:i/>
    </w:rPr>
  </w:style>
  <w:style w:type="table" w:styleId="Style_108">
    <w:name w:val="Table Grid"/>
    <w:basedOn w:val="Style_6"/>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6">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hyperlink" Target="http://www.etpgpb.ru/" TargetMode="External"/><Relationship Id="rId4" Type="http://schemas.openxmlformats.org/officeDocument/2006/relationships/hyperlink" Target="mailto:info@etpgpb.ru" TargetMode="External"/><Relationship Id="rId5" Type="http://schemas.openxmlformats.org/officeDocument/2006/relationships/hyperlink" Target="consultantplus://offline/ref=B080A55EEAA5E55DF447DAC5FB40C0C815C40190FA7685FA3C95CF62FB9F7F358CD399671AD453F5BAD78A6A2AECD920AB29CA3E1889Y3R1E" TargetMode="External"/><Relationship Id="rId6" Type="http://schemas.openxmlformats.org/officeDocument/2006/relationships/hyperlink" Target="consultantplus://offline/ref=B080A55EEAA5E55DF447DAC5FB40C0C815C40092FD7085FA3C95CF62FB9F7F358CD399641CD253FEEC8D9A6E63B8D13FAE34D43F068933B8YAR9E" TargetMode="External"/><Relationship Id="rId7" Type="http://schemas.openxmlformats.org/officeDocument/2006/relationships/hyperlink" Target="consultantplus://offline/ref=B080A55EEAA5E55DF447DAC5FB40C0C815C40092FD7085FA3C95CF62FB9F7F358CD399641CD253FEEC8D9A6E63B8D13FAE34D43F068933B8YAR9E" TargetMode="External"/><Relationship Id="rId8" Type="http://schemas.openxmlformats.org/officeDocument/2006/relationships/hyperlink" Target="consultantplus://offline/ref=B080A55EEAA5E55DF447DAC5FB40C0C815C40092FD7085FA3C95CF62FB9F7F358CD399641CD253FEEC8D9A6E63B8D13FAE34D43F068933B8YAR9E" TargetMode="External"/><Relationship Id="rId9" Type="http://schemas.openxmlformats.org/officeDocument/2006/relationships/hyperlink" Target="consultantplus://offline/ref=B080A55EEAA5E55DF447DAC5FB40C0C812CC0490F97385FA3C95CF62FB9F7F359ED3C1681DD744FEED98CC3F25YERFE" TargetMode="External"/><Relationship Id="rId10" Type="http://schemas.openxmlformats.org/officeDocument/2006/relationships/hyperlink" Target="consultantplus://offline/ref=B080A55EEAA5E55DF447DAC5FB40C0C812CD0394FE7385FA3C95CF62FB9F7F358CD399601AD551AABFC29B3226E8C23EA834D63C1AY8R9E" TargetMode="External"/><Relationship Id="rId11" Type="http://schemas.openxmlformats.org/officeDocument/2006/relationships/hyperlink" Target="consultantplus://offline/ref=B080A55EEAA5E55DF447DAC5FB40C0C812CD0394FE7385FA3C95CF62FB9F7F358CD3996218D751AABFC29B3226E8C23EA834D63C1AY8R9E" TargetMode="External"/><Relationship Id="rId12" Type="http://schemas.openxmlformats.org/officeDocument/2006/relationships/hyperlink" Target="consultantplus://offline/ref=B080A55EEAA5E55DF447DAC5FB40C0C812CD0394FE7385FA3C95CF62FB9F7F359ED3C1681DD744FEED98CC3F25YERFE" TargetMode="External"/><Relationship Id="rId13" Type="http://schemas.openxmlformats.org/officeDocument/2006/relationships/hyperlink" Target="consultantplus://offline/ref=B080A55EEAA5E55DF447DAC5FB40C0C812CD0394FE7385FA3C95CF62FB9F7F358CD399601AD251AABFC29B3226E8C23EA834D63C1AY8R9E" TargetMode="External"/><Relationship Id="rId14" Type="http://schemas.openxmlformats.org/officeDocument/2006/relationships/hyperlink" Target="consultantplus://offline/ref=B080A55EEAA5E55DF447DAC5FB40C0C812CD0394FE7385FA3C95CF62FB9F7F358CD3996019D551AABFC29B3226E8C23EA834D63C1AY8R9E" TargetMode="External"/><Relationship Id="rId15" Type="http://schemas.openxmlformats.org/officeDocument/2006/relationships/header" Target="header1.xm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hyperlink" Target="consultantplus://offline/ref=396B047A891C8490E5EC709C96A1E29CCA7EECBCA1270DD269560DC91D6191F1D5412B0413E0864A27A2CF707DDAG1A" TargetMode="External"/><Relationship Id="rId20" Type="http://schemas.openxmlformats.org/officeDocument/2006/relationships/hyperlink" Target="https://login.consultant.ru/link/?req=doc&amp;base=LAW&amp;n=420499&amp;dst=552&amp;field=134&amp;date=22.11.2022" TargetMode="External"/><Relationship Id="rId21" Type="http://schemas.openxmlformats.org/officeDocument/2006/relationships/hyperlink" Target="consultantplus://offline/ref=C4E247C77DE45E681089AE75BC0CD446BFB7F8B95536506450ADE8ECE8A869503A479396770ACA9D06E7D3D8451C1AE794A459FB7207282CHAu2B" TargetMode="External"/><Relationship Id="rId22" Type="http://schemas.openxmlformats.org/officeDocument/2006/relationships/header" Target="header2.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LibreOffice/7.4.4.2$Linux_X86_64 LibreOffice_project/40$Build-2</Application>
  <AppVersion>15.0000</AppVersion>
  <Pages>28</Pages>
  <Words>7956</Words>
  <Characters>55246</Characters>
  <CharactersWithSpaces>62821</CharactersWithSpaces>
  <Paragraphs>321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2023-11-29T09:36:29Z</dcterms:modified>
  <cp:revision>1</cp:revision>
  <dc:subject/>
  <dc:title/>
</cp:coreProperties>
</file>