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2.xml"/>
  <Override ContentType="application/vnd.openxmlformats-officedocument.wordprocessingml.footer+xml" PartName="/word/footer4.xml"/>
  <Override ContentType="application/vnd.openxmlformats-officedocument.wordprocessingml.header+xml" PartName="/word/header1.xml"/>
  <Override ContentType="application/vnd.openxmlformats-officedocument.wordprocessingml.header+xml" PartName="/word/header3.xml"/>
  <Override ContentType="application/vnd.openxmlformats-officedocument.wordprocessingml.header+xml" PartName="/word/header5.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9000000">
      <w:pPr>
        <w:pStyle w:val="Style_2"/>
        <w:ind w:firstLine="0" w:left="5103" w:right="0"/>
      </w:pPr>
      <w:r>
        <w:t>Приложение № 2</w:t>
      </w:r>
    </w:p>
    <w:p w14:paraId="0A000000">
      <w:pPr>
        <w:pStyle w:val="Style_2"/>
        <w:ind w:firstLine="0" w:left="5103" w:right="0"/>
      </w:pPr>
      <w:r>
        <w:t>к приказу Министерства природных</w:t>
      </w:r>
    </w:p>
    <w:p w14:paraId="0B000000">
      <w:pPr>
        <w:pStyle w:val="Style_2"/>
        <w:ind w:firstLine="0" w:left="5103" w:right="0"/>
      </w:pPr>
      <w:r>
        <w:t>ресурсов и экологии Камчатского края</w:t>
      </w:r>
    </w:p>
    <w:p w14:paraId="0C000000">
      <w:pPr>
        <w:pStyle w:val="Style_2"/>
        <w:tabs>
          <w:tab w:leader="none" w:pos="708" w:val="clear"/>
          <w:tab w:leader="none" w:pos="5103" w:val="left"/>
        </w:tabs>
        <w:ind w:firstLine="0" w:left="5103" w:right="0"/>
        <w:jc w:val="both"/>
      </w:pPr>
      <w:r>
        <w:t>от 03.11.2023 № 375-П</w:t>
      </w:r>
    </w:p>
    <w:p w14:paraId="0D000000">
      <w:pPr>
        <w:pStyle w:val="Style_4"/>
        <w:widowControl w:val="1"/>
        <w:ind w:firstLine="0" w:left="0" w:right="-284"/>
        <w:jc w:val="center"/>
        <w:rPr>
          <w:rFonts w:ascii="Times New Roman" w:hAnsi="Times New Roman"/>
          <w:b w:val="0"/>
          <w:sz w:val="28"/>
        </w:rPr>
      </w:pPr>
    </w:p>
    <w:p w14:paraId="0E000000">
      <w:pPr>
        <w:pStyle w:val="Style_4"/>
        <w:widowControl w:val="1"/>
        <w:spacing w:line="240" w:lineRule="auto"/>
        <w:ind w:firstLine="0" w:left="0" w:right="-284"/>
        <w:jc w:val="center"/>
        <w:rPr>
          <w:rFonts w:ascii="Times New Roman" w:hAnsi="Times New Roman"/>
          <w:b w:val="0"/>
          <w:sz w:val="28"/>
        </w:rPr>
      </w:pPr>
      <w:r>
        <w:rPr>
          <w:rFonts w:ascii="Times New Roman" w:hAnsi="Times New Roman"/>
          <w:b w:val="0"/>
          <w:sz w:val="28"/>
        </w:rPr>
        <w:t>Порядок и условия проведения электронного аукциона</w:t>
      </w:r>
    </w:p>
    <w:p w14:paraId="0F000000">
      <w:pPr>
        <w:pStyle w:val="Style_4"/>
        <w:widowControl w:val="1"/>
        <w:spacing w:line="240" w:lineRule="auto"/>
        <w:ind w:firstLine="0" w:left="0" w:right="-284"/>
        <w:jc w:val="center"/>
        <w:rPr>
          <w:rFonts w:ascii="Times New Roman" w:hAnsi="Times New Roman"/>
          <w:b w:val="0"/>
          <w:sz w:val="28"/>
        </w:rPr>
      </w:pPr>
      <w:r>
        <w:rPr>
          <w:rFonts w:ascii="Times New Roman" w:hAnsi="Times New Roman"/>
          <w:b w:val="0"/>
          <w:sz w:val="28"/>
        </w:rPr>
        <w:t>на право пользования участком недр местного значения «Прикарьерный» с целью геологического изучения недр, разведки и добычи песчано-гравийных пород</w:t>
      </w:r>
    </w:p>
    <w:p w14:paraId="10000000">
      <w:pPr>
        <w:pStyle w:val="Style_4"/>
        <w:widowControl w:val="1"/>
        <w:spacing w:line="240" w:lineRule="auto"/>
        <w:ind w:firstLine="0" w:left="0" w:right="-284"/>
        <w:jc w:val="center"/>
        <w:rPr>
          <w:rFonts w:ascii="Times New Roman" w:hAnsi="Times New Roman"/>
          <w:b w:val="0"/>
          <w:sz w:val="28"/>
        </w:rPr>
      </w:pPr>
      <w:r>
        <w:rPr>
          <w:rFonts w:ascii="Times New Roman" w:hAnsi="Times New Roman"/>
          <w:b w:val="0"/>
          <w:sz w:val="28"/>
        </w:rPr>
        <w:t>(далее – Порядок и условия проведения аукциона)</w:t>
      </w:r>
    </w:p>
    <w:p w14:paraId="11000000">
      <w:pPr>
        <w:pStyle w:val="Style_4"/>
        <w:widowControl w:val="1"/>
        <w:spacing w:line="240" w:lineRule="auto"/>
        <w:ind w:firstLine="0" w:left="0" w:right="-284"/>
        <w:jc w:val="center"/>
        <w:rPr>
          <w:rFonts w:ascii="Times New Roman" w:hAnsi="Times New Roman"/>
          <w:b w:val="0"/>
          <w:color w:val="7030A0"/>
          <w:sz w:val="28"/>
        </w:rPr>
      </w:pPr>
    </w:p>
    <w:p w14:paraId="12000000">
      <w:pPr>
        <w:pStyle w:val="Style_2"/>
        <w:spacing w:line="240" w:lineRule="auto"/>
        <w:ind w:firstLine="709" w:left="0" w:right="0"/>
        <w:jc w:val="both"/>
        <w:rPr>
          <w:sz w:val="28"/>
        </w:rPr>
      </w:pPr>
      <w:r>
        <w:rPr>
          <w:sz w:val="28"/>
        </w:rPr>
        <w:t xml:space="preserve">Министерство природных ресурсов и экологии Камчатского края (далее – Министерство, организатор аукциона, уполномоченный орган) объявляет электронный аукцион на право пользования </w:t>
      </w:r>
      <w:r>
        <w:rPr>
          <w:spacing w:val="-1"/>
          <w:sz w:val="28"/>
        </w:rPr>
        <w:t xml:space="preserve">участком недр местного значения </w:t>
      </w:r>
      <w:r>
        <w:rPr>
          <w:sz w:val="28"/>
        </w:rPr>
        <w:t>«Прикарьерный» с целью геологического изучения недр, разведки и добычи  песчано-гравийных пород,</w:t>
      </w:r>
      <w:r>
        <w:rPr>
          <w:spacing w:val="-1"/>
          <w:sz w:val="28"/>
        </w:rPr>
        <w:t xml:space="preserve"> расположенным на территории Мильковского муниципального района Камчатского края</w:t>
      </w:r>
      <w:r>
        <w:rPr>
          <w:sz w:val="28"/>
        </w:rPr>
        <w:t>.</w:t>
      </w:r>
    </w:p>
    <w:p w14:paraId="13000000">
      <w:pPr>
        <w:pStyle w:val="Style_2"/>
        <w:spacing w:line="240" w:lineRule="auto"/>
        <w:ind w:firstLine="709" w:left="0" w:right="0"/>
        <w:jc w:val="both"/>
        <w:rPr>
          <w:sz w:val="28"/>
        </w:rPr>
      </w:pPr>
    </w:p>
    <w:p w14:paraId="14000000">
      <w:pPr>
        <w:pStyle w:val="Style_2"/>
        <w:spacing w:line="240" w:lineRule="auto"/>
        <w:ind/>
        <w:jc w:val="center"/>
        <w:rPr>
          <w:sz w:val="28"/>
        </w:rPr>
      </w:pPr>
      <w:r>
        <w:rPr>
          <w:sz w:val="28"/>
        </w:rPr>
        <w:t>Общие положения</w:t>
      </w:r>
    </w:p>
    <w:p w14:paraId="15000000">
      <w:pPr>
        <w:pStyle w:val="Style_2"/>
        <w:spacing w:line="240" w:lineRule="auto"/>
        <w:ind/>
        <w:jc w:val="center"/>
        <w:rPr>
          <w:color w:val="7030A0"/>
          <w:sz w:val="28"/>
        </w:rPr>
      </w:pPr>
    </w:p>
    <w:p w14:paraId="16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 xml:space="preserve">Объявление о проведении аукциона размещается на официальном сайте Российской Федерации в информационно-коммуникационной сети «Интернет» для размещения информации о проведении торгов </w:t>
      </w:r>
      <w:r>
        <w:rPr>
          <w:color w:val="000000"/>
          <w:sz w:val="28"/>
        </w:rPr>
        <w:fldChar w:fldCharType="begin"/>
      </w:r>
      <w:r>
        <w:rPr>
          <w:color w:val="000000"/>
          <w:sz w:val="28"/>
        </w:rPr>
        <w:instrText>HYPERLINK "http://www.torgi.gov.ru/"</w:instrText>
      </w:r>
      <w:r>
        <w:rPr>
          <w:color w:val="000000"/>
          <w:sz w:val="28"/>
        </w:rPr>
        <w:fldChar w:fldCharType="separate"/>
      </w:r>
      <w:r>
        <w:rPr>
          <w:color w:val="000000"/>
          <w:sz w:val="28"/>
        </w:rPr>
        <w:t>www.torgi.gov.ru</w:t>
      </w:r>
      <w:r>
        <w:rPr>
          <w:color w:val="000000"/>
          <w:sz w:val="28"/>
        </w:rPr>
        <w:fldChar w:fldCharType="end"/>
      </w:r>
      <w:r>
        <w:rPr>
          <w:sz w:val="28"/>
        </w:rPr>
        <w:t xml:space="preserve"> (далее – официальный сайт) одновременно с размещением на сайте электронной торговой площадки Газпромбанка в информационно-телекоммуникационной сети «Интернет» </w:t>
      </w:r>
      <w:r>
        <w:rPr>
          <w:color w:val="000000"/>
          <w:sz w:val="28"/>
        </w:rPr>
        <w:fldChar w:fldCharType="begin"/>
      </w:r>
      <w:r>
        <w:rPr>
          <w:color w:val="000000"/>
          <w:sz w:val="28"/>
        </w:rPr>
        <w:instrText>HYPERLINK "http://www.etpgpb.ru/"</w:instrText>
      </w:r>
      <w:r>
        <w:rPr>
          <w:color w:val="000000"/>
          <w:sz w:val="28"/>
        </w:rPr>
        <w:fldChar w:fldCharType="separate"/>
      </w:r>
      <w:r>
        <w:rPr>
          <w:color w:val="000000"/>
          <w:sz w:val="28"/>
        </w:rPr>
        <w:t>www.etpgpb.ru</w:t>
      </w:r>
      <w:r>
        <w:rPr>
          <w:color w:val="000000"/>
          <w:sz w:val="28"/>
        </w:rPr>
        <w:fldChar w:fldCharType="end"/>
      </w:r>
      <w:r>
        <w:rPr>
          <w:sz w:val="28"/>
        </w:rPr>
        <w:t xml:space="preserve"> (далее – электронная площадка) не позднее, чем за 7 рабочих дней до дня принятия решения о предоставлении права пользования недрами по его результатам (16.11.2023;</w:t>
      </w:r>
      <w:r>
        <w:rPr>
          <w:color w:val="111111"/>
          <w:sz w:val="28"/>
        </w:rPr>
        <w:t xml:space="preserve"> приказ Минис</w:t>
      </w:r>
      <w:r>
        <w:rPr>
          <w:sz w:val="28"/>
        </w:rPr>
        <w:t>терства от 15.08.2022 № 249-П «Об установлении особенностей осуществления разрешительной деятельности при пользовании участками недр местного значения, содержащими общераспространенные полезные ископаемые, используемые для целей строительства и расположенными на территории Камчатского края, в 2022 году» (в ред. от 28.03.2023 № 1-Н).</w:t>
      </w:r>
    </w:p>
    <w:p w14:paraId="17000000">
      <w:pPr>
        <w:pStyle w:val="Style_6"/>
        <w:numPr>
          <w:ilvl w:val="0"/>
          <w:numId w:val="1"/>
        </w:numPr>
        <w:tabs>
          <w:tab w:leader="none" w:pos="708" w:val="clear"/>
          <w:tab w:leader="none" w:pos="993" w:val="left"/>
        </w:tabs>
        <w:spacing w:line="240" w:lineRule="auto"/>
        <w:ind w:firstLine="709" w:left="0" w:right="0"/>
        <w:jc w:val="both"/>
        <w:rPr>
          <w:rFonts w:ascii="Times New Roman" w:hAnsi="Times New Roman"/>
          <w:sz w:val="28"/>
        </w:rPr>
      </w:pPr>
      <w:r>
        <w:rPr>
          <w:rFonts w:ascii="Times New Roman" w:hAnsi="Times New Roman"/>
          <w:sz w:val="28"/>
        </w:rPr>
        <w:t>Документооборот между организатором аукциона, членами аукционной комиссии, заявителями и участниками аукциона осуществляется посредством электронной площадки в форме электронных документов, подписанных усиленной квалифицированной электронной подписью указанных субъектов либо лиц, имеющих право действовать от имени заявителя или участника аукциона.</w:t>
      </w:r>
    </w:p>
    <w:p w14:paraId="18000000">
      <w:pPr>
        <w:pStyle w:val="Style_6"/>
        <w:tabs>
          <w:tab w:leader="none" w:pos="708" w:val="clear"/>
          <w:tab w:leader="none" w:pos="993" w:val="left"/>
        </w:tabs>
        <w:spacing w:line="240" w:lineRule="auto"/>
        <w:ind w:firstLine="709" w:left="0" w:right="0"/>
        <w:jc w:val="both"/>
        <w:rPr>
          <w:rFonts w:ascii="Times New Roman" w:hAnsi="Times New Roman"/>
          <w:sz w:val="28"/>
        </w:rPr>
      </w:pPr>
      <w:r>
        <w:rPr>
          <w:rFonts w:ascii="Times New Roman" w:hAnsi="Times New Roman"/>
          <w:sz w:val="28"/>
        </w:rPr>
        <w:t>Наличие усиленной квалифицированной электронной подписи означает, что документы и сведения, направленные в форме электронных документов, представлены от имени организатора аукциона, члена аукционной комиссии, заявителя и участника аукциона и указанные лица несут ответственность за подлинность и достоверность таких документов и сведений.</w:t>
      </w:r>
    </w:p>
    <w:p w14:paraId="19000000">
      <w:pPr>
        <w:pStyle w:val="Style_6"/>
        <w:tabs>
          <w:tab w:leader="none" w:pos="708" w:val="clear"/>
          <w:tab w:leader="none" w:pos="993" w:val="left"/>
        </w:tabs>
        <w:spacing w:line="240" w:lineRule="auto"/>
        <w:ind w:firstLine="709" w:left="0" w:right="0"/>
        <w:jc w:val="both"/>
        <w:rPr>
          <w:rFonts w:ascii="Times New Roman" w:hAnsi="Times New Roman"/>
          <w:sz w:val="28"/>
        </w:rPr>
      </w:pPr>
      <w:r>
        <w:rPr>
          <w:rFonts w:ascii="Times New Roman" w:hAnsi="Times New Roman"/>
          <w:sz w:val="28"/>
        </w:rPr>
        <w:t>Оператор электронной площадки обеспечивает организатору аукциона и членам аукционной комиссии возможность подписания документов, подлежащих размещению на электронной площадке, усиленной квалифицированной электронной подписью.</w:t>
      </w:r>
    </w:p>
    <w:p w14:paraId="1A000000">
      <w:pPr>
        <w:pStyle w:val="Style_6"/>
        <w:numPr>
          <w:ilvl w:val="0"/>
          <w:numId w:val="1"/>
        </w:numPr>
        <w:tabs>
          <w:tab w:leader="none" w:pos="708" w:val="clear"/>
          <w:tab w:leader="none" w:pos="993" w:val="left"/>
        </w:tabs>
        <w:spacing w:line="240" w:lineRule="auto"/>
        <w:ind w:firstLine="709" w:left="0" w:right="0"/>
        <w:jc w:val="both"/>
        <w:rPr>
          <w:rFonts w:ascii="Times New Roman" w:hAnsi="Times New Roman"/>
          <w:sz w:val="28"/>
        </w:rPr>
      </w:pPr>
      <w:r>
        <w:rPr>
          <w:rFonts w:ascii="Times New Roman" w:hAnsi="Times New Roman"/>
          <w:sz w:val="28"/>
        </w:rPr>
        <w:t>Оператор электронной площадки в соответствии с регламентом электронной площадки обеспечивает на электронной площадке:</w:t>
      </w:r>
    </w:p>
    <w:p w14:paraId="1B000000">
      <w:pPr>
        <w:pStyle w:val="Style_5"/>
        <w:widowControl w:val="0"/>
        <w:numPr>
          <w:ilvl w:val="0"/>
          <w:numId w:val="2"/>
        </w:numPr>
        <w:tabs>
          <w:tab w:leader="none" w:pos="708" w:val="clear"/>
          <w:tab w:leader="none" w:pos="1276" w:val="left"/>
        </w:tabs>
        <w:spacing w:line="240" w:lineRule="auto"/>
        <w:ind w:firstLine="709" w:left="0" w:right="0"/>
        <w:jc w:val="both"/>
        <w:rPr>
          <w:sz w:val="28"/>
        </w:rPr>
      </w:pPr>
      <w:r>
        <w:rPr>
          <w:sz w:val="28"/>
        </w:rPr>
        <w:t>возможность регистрации организатора аукциона и заявителей, ввод ими идентифицирующих данных (имя пользователя и пароль), возможность изменения пароля;</w:t>
      </w:r>
    </w:p>
    <w:p w14:paraId="1C000000">
      <w:pPr>
        <w:pStyle w:val="Style_5"/>
        <w:widowControl w:val="0"/>
        <w:numPr>
          <w:ilvl w:val="0"/>
          <w:numId w:val="2"/>
        </w:numPr>
        <w:tabs>
          <w:tab w:leader="none" w:pos="708" w:val="clear"/>
          <w:tab w:leader="none" w:pos="1276" w:val="left"/>
        </w:tabs>
        <w:spacing w:after="0" w:before="220" w:line="240" w:lineRule="auto"/>
        <w:ind w:firstLine="709" w:left="0" w:right="0"/>
        <w:contextualSpacing w:val="1"/>
        <w:jc w:val="both"/>
        <w:rPr>
          <w:sz w:val="28"/>
        </w:rPr>
      </w:pPr>
      <w:r>
        <w:rPr>
          <w:sz w:val="28"/>
        </w:rPr>
        <w:t>открытие рабочего раздела для осуществления действий на электронной площадке (далее – личный кабинет) организатора аукциона, доступ к которому имеют организатор аукциона и члены аукционной комиссии, открытие личного кабинета заявителя, а также возможность входа в личный кабинет с использованием усиленной квалифицированной электронной подписи;</w:t>
      </w:r>
    </w:p>
    <w:p w14:paraId="1D000000">
      <w:pPr>
        <w:pStyle w:val="Style_5"/>
        <w:widowControl w:val="0"/>
        <w:numPr>
          <w:ilvl w:val="0"/>
          <w:numId w:val="2"/>
        </w:numPr>
        <w:tabs>
          <w:tab w:leader="none" w:pos="708" w:val="clear"/>
          <w:tab w:leader="none" w:pos="1276" w:val="left"/>
        </w:tabs>
        <w:spacing w:after="0" w:before="220" w:line="240" w:lineRule="auto"/>
        <w:ind w:firstLine="709" w:left="0" w:right="0"/>
        <w:contextualSpacing w:val="1"/>
        <w:jc w:val="both"/>
        <w:rPr>
          <w:sz w:val="28"/>
        </w:rPr>
      </w:pPr>
      <w:r>
        <w:rPr>
          <w:sz w:val="28"/>
        </w:rPr>
        <w:t>открытие раздела, доступ к которому имеют только организатор аукциона, члены аукционной комиссии и участники аукциона (далее – закрытая часть электронной площадки);</w:t>
      </w:r>
    </w:p>
    <w:p w14:paraId="1E000000">
      <w:pPr>
        <w:pStyle w:val="Style_5"/>
        <w:widowControl w:val="0"/>
        <w:numPr>
          <w:ilvl w:val="0"/>
          <w:numId w:val="2"/>
        </w:numPr>
        <w:tabs>
          <w:tab w:leader="none" w:pos="708" w:val="clear"/>
          <w:tab w:leader="none" w:pos="1276" w:val="left"/>
        </w:tabs>
        <w:spacing w:after="0" w:before="220" w:line="240" w:lineRule="auto"/>
        <w:ind w:firstLine="709" w:left="0" w:right="0"/>
        <w:contextualSpacing w:val="1"/>
        <w:jc w:val="both"/>
        <w:rPr>
          <w:sz w:val="28"/>
        </w:rPr>
      </w:pPr>
      <w:r>
        <w:rPr>
          <w:sz w:val="28"/>
        </w:rPr>
        <w:t>подачу заявителями заявок на участие в аукционе (далее – заявка);</w:t>
      </w:r>
    </w:p>
    <w:p w14:paraId="1F000000">
      <w:pPr>
        <w:pStyle w:val="Style_5"/>
        <w:widowControl w:val="0"/>
        <w:numPr>
          <w:ilvl w:val="0"/>
          <w:numId w:val="2"/>
        </w:numPr>
        <w:tabs>
          <w:tab w:leader="none" w:pos="708" w:val="clear"/>
          <w:tab w:leader="none" w:pos="1276" w:val="left"/>
        </w:tabs>
        <w:spacing w:after="0" w:before="220" w:line="240" w:lineRule="auto"/>
        <w:ind w:firstLine="709" w:left="0" w:right="0"/>
        <w:contextualSpacing w:val="1"/>
        <w:jc w:val="both"/>
        <w:rPr>
          <w:sz w:val="28"/>
        </w:rPr>
      </w:pPr>
      <w:r>
        <w:rPr>
          <w:sz w:val="28"/>
        </w:rPr>
        <w:t>прием и регистрацию в электронных журналах заявок и прилагаемых к ним документов, предложений участников аукциона о размере разового платежа за пользование недрами, фиксацию сведений об отозванных заявках;</w:t>
      </w:r>
    </w:p>
    <w:p w14:paraId="20000000">
      <w:pPr>
        <w:pStyle w:val="Style_5"/>
        <w:widowControl w:val="0"/>
        <w:numPr>
          <w:ilvl w:val="0"/>
          <w:numId w:val="2"/>
        </w:numPr>
        <w:tabs>
          <w:tab w:leader="none" w:pos="708" w:val="clear"/>
          <w:tab w:leader="none" w:pos="1276" w:val="left"/>
        </w:tabs>
        <w:spacing w:after="0" w:before="220" w:line="240" w:lineRule="auto"/>
        <w:ind w:firstLine="709" w:left="0" w:right="0"/>
        <w:contextualSpacing w:val="1"/>
        <w:jc w:val="both"/>
        <w:rPr>
          <w:sz w:val="28"/>
        </w:rPr>
      </w:pPr>
      <w:r>
        <w:rPr>
          <w:sz w:val="28"/>
        </w:rPr>
        <w:t>направление организатору аукциона, заявителям и участникам аукциона в случаях и в сроки, которые предусмотрены Правилами проведения аукциона на право пользования участком недр федерального значения, участком недр местного значения, а также участком недр, не отнесенным к участкам недр федерального или местного значения, в электронной форме, утвержденными постановлением Правительства Российской Федерации от 28.12.2021 № 2499 (далее – Правила проведения аукциона), посредством личного кабинета уведомлений, содержащих сведения о размещении информации и (или) документов на электронной площадке, а также ссылку для ознакомления с соответствующей информацией и (или) документами (далее – уведомление);</w:t>
      </w:r>
    </w:p>
    <w:p w14:paraId="21000000">
      <w:pPr>
        <w:pStyle w:val="Style_5"/>
        <w:widowControl w:val="0"/>
        <w:numPr>
          <w:ilvl w:val="0"/>
          <w:numId w:val="2"/>
        </w:numPr>
        <w:tabs>
          <w:tab w:leader="none" w:pos="708" w:val="clear"/>
          <w:tab w:leader="none" w:pos="1276" w:val="left"/>
        </w:tabs>
        <w:spacing w:after="0" w:before="220" w:line="240" w:lineRule="auto"/>
        <w:ind w:firstLine="709" w:left="0" w:right="0"/>
        <w:contextualSpacing w:val="1"/>
        <w:jc w:val="both"/>
        <w:rPr>
          <w:sz w:val="28"/>
        </w:rPr>
      </w:pPr>
      <w:r>
        <w:rPr>
          <w:sz w:val="28"/>
        </w:rPr>
        <w:t>ведение электронного документооборота посредством электронной площадки в соответствии с частью 2 настоящего раздела;</w:t>
      </w:r>
    </w:p>
    <w:p w14:paraId="22000000">
      <w:pPr>
        <w:pStyle w:val="Style_5"/>
        <w:widowControl w:val="0"/>
        <w:numPr>
          <w:ilvl w:val="0"/>
          <w:numId w:val="2"/>
        </w:numPr>
        <w:tabs>
          <w:tab w:leader="none" w:pos="708" w:val="clear"/>
          <w:tab w:leader="none" w:pos="1276" w:val="left"/>
        </w:tabs>
        <w:spacing w:after="0" w:before="220" w:line="240" w:lineRule="auto"/>
        <w:ind w:firstLine="709" w:left="0" w:right="0"/>
        <w:contextualSpacing w:val="1"/>
        <w:jc w:val="both"/>
        <w:rPr>
          <w:sz w:val="28"/>
        </w:rPr>
      </w:pPr>
      <w:r>
        <w:rPr>
          <w:sz w:val="28"/>
        </w:rPr>
        <w:t>равный доступ участников аукциона к процедуре аукциона, непрерывность проведения аукциона и надежность функционирования программно-аппаратных средств электронной площадки;</w:t>
      </w:r>
    </w:p>
    <w:p w14:paraId="23000000">
      <w:pPr>
        <w:pStyle w:val="Style_5"/>
        <w:widowControl w:val="0"/>
        <w:numPr>
          <w:ilvl w:val="0"/>
          <w:numId w:val="2"/>
        </w:numPr>
        <w:tabs>
          <w:tab w:leader="none" w:pos="708" w:val="clear"/>
          <w:tab w:leader="none" w:pos="1276" w:val="left"/>
        </w:tabs>
        <w:spacing w:after="0" w:before="220" w:line="240" w:lineRule="auto"/>
        <w:ind w:firstLine="709" w:left="0" w:right="0"/>
        <w:contextualSpacing w:val="1"/>
        <w:jc w:val="both"/>
        <w:rPr>
          <w:sz w:val="28"/>
        </w:rPr>
      </w:pPr>
      <w:r>
        <w:rPr>
          <w:sz w:val="28"/>
        </w:rPr>
        <w:t>размещение на электронной площадке информации в соответствии с требованиями Порядка;</w:t>
      </w:r>
    </w:p>
    <w:p w14:paraId="24000000">
      <w:pPr>
        <w:pStyle w:val="Style_5"/>
        <w:widowControl w:val="0"/>
        <w:numPr>
          <w:ilvl w:val="0"/>
          <w:numId w:val="2"/>
        </w:numPr>
        <w:tabs>
          <w:tab w:leader="none" w:pos="708" w:val="clear"/>
          <w:tab w:leader="none" w:pos="1276" w:val="left"/>
        </w:tabs>
        <w:spacing w:after="0" w:before="220" w:line="240" w:lineRule="auto"/>
        <w:ind w:firstLine="709" w:left="0" w:right="0"/>
        <w:contextualSpacing w:val="1"/>
        <w:jc w:val="both"/>
        <w:rPr>
          <w:sz w:val="28"/>
        </w:rPr>
      </w:pPr>
      <w:r>
        <w:rPr>
          <w:sz w:val="28"/>
        </w:rPr>
        <w:t>конфиденциальность сведений о поступивших заявках и прилагаемых к ним документах и сведений о заявителях, за исключением случаев доступа организатора аукциона, а также членов аукционной комиссии к заявкам и прилагаемым к ним документам посредством личного кабинета организатора аукциона до момента размещения на электронной площадке протокола рассмотрения заявок на участие в аукционе;</w:t>
      </w:r>
    </w:p>
    <w:p w14:paraId="25000000">
      <w:pPr>
        <w:pStyle w:val="Style_5"/>
        <w:widowControl w:val="0"/>
        <w:numPr>
          <w:ilvl w:val="0"/>
          <w:numId w:val="2"/>
        </w:numPr>
        <w:tabs>
          <w:tab w:leader="none" w:pos="708" w:val="clear"/>
          <w:tab w:leader="none" w:pos="1276" w:val="left"/>
        </w:tabs>
        <w:spacing w:after="0" w:before="220" w:line="240" w:lineRule="auto"/>
        <w:ind w:firstLine="709" w:left="0" w:right="0"/>
        <w:contextualSpacing w:val="1"/>
        <w:jc w:val="both"/>
        <w:rPr>
          <w:sz w:val="28"/>
        </w:rPr>
      </w:pPr>
      <w:bookmarkStart w:id="1" w:name="P118"/>
      <w:bookmarkEnd w:id="1"/>
      <w:r>
        <w:rPr>
          <w:sz w:val="28"/>
        </w:rPr>
        <w:t>возможность внесения заявителями на расчетный счет оператора электронной площадки сумм задатка и сбора за участие в аукционе по реквизитам:</w:t>
      </w:r>
    </w:p>
    <w:p w14:paraId="26000000">
      <w:pPr>
        <w:pStyle w:val="Style_5"/>
        <w:widowControl w:val="0"/>
        <w:tabs>
          <w:tab w:leader="none" w:pos="708" w:val="clear"/>
          <w:tab w:leader="none" w:pos="1276" w:val="left"/>
        </w:tabs>
        <w:spacing w:after="0" w:before="220" w:line="240" w:lineRule="auto"/>
        <w:ind w:hanging="11" w:left="11" w:right="0"/>
        <w:contextualSpacing w:val="1"/>
        <w:jc w:val="both"/>
        <w:rPr>
          <w:sz w:val="28"/>
        </w:rPr>
      </w:pPr>
      <w:r>
        <w:rPr>
          <w:sz w:val="28"/>
        </w:rPr>
        <w:t>ООО ЭТП ГПБ:</w:t>
      </w:r>
    </w:p>
    <w:p w14:paraId="27000000">
      <w:pPr>
        <w:pStyle w:val="Style_5"/>
        <w:widowControl w:val="0"/>
        <w:tabs>
          <w:tab w:leader="none" w:pos="708" w:val="clear"/>
          <w:tab w:leader="none" w:pos="1276" w:val="left"/>
        </w:tabs>
        <w:spacing w:after="0" w:before="220" w:line="240" w:lineRule="auto"/>
        <w:ind w:hanging="11" w:left="11" w:right="0"/>
        <w:contextualSpacing w:val="1"/>
        <w:jc w:val="both"/>
        <w:rPr>
          <w:sz w:val="28"/>
        </w:rPr>
      </w:pPr>
      <w:r>
        <w:rPr>
          <w:sz w:val="28"/>
        </w:rPr>
        <w:t>ИНН 7724514910;</w:t>
      </w:r>
    </w:p>
    <w:p w14:paraId="28000000">
      <w:pPr>
        <w:pStyle w:val="Style_5"/>
        <w:widowControl w:val="0"/>
        <w:tabs>
          <w:tab w:leader="none" w:pos="708" w:val="clear"/>
          <w:tab w:leader="none" w:pos="1276" w:val="left"/>
        </w:tabs>
        <w:spacing w:after="0" w:before="220" w:line="240" w:lineRule="auto"/>
        <w:ind w:hanging="11" w:left="11" w:right="0"/>
        <w:contextualSpacing w:val="1"/>
        <w:jc w:val="both"/>
        <w:rPr>
          <w:sz w:val="28"/>
        </w:rPr>
      </w:pPr>
      <w:r>
        <w:rPr>
          <w:sz w:val="28"/>
        </w:rPr>
        <w:t>р/сч.: 40702810300000017639;</w:t>
      </w:r>
    </w:p>
    <w:p w14:paraId="29000000">
      <w:pPr>
        <w:pStyle w:val="Style_5"/>
        <w:widowControl w:val="0"/>
        <w:tabs>
          <w:tab w:leader="none" w:pos="708" w:val="clear"/>
          <w:tab w:leader="none" w:pos="1276" w:val="left"/>
        </w:tabs>
        <w:spacing w:after="0" w:before="220" w:line="240" w:lineRule="auto"/>
        <w:ind w:hanging="11" w:left="11" w:right="0"/>
        <w:contextualSpacing w:val="1"/>
        <w:jc w:val="both"/>
        <w:rPr>
          <w:sz w:val="28"/>
        </w:rPr>
      </w:pPr>
      <w:r>
        <w:rPr>
          <w:sz w:val="28"/>
        </w:rPr>
        <w:t>кор. сч. 30101810200000000823;</w:t>
      </w:r>
    </w:p>
    <w:p w14:paraId="2A000000">
      <w:pPr>
        <w:pStyle w:val="Style_5"/>
        <w:widowControl w:val="0"/>
        <w:tabs>
          <w:tab w:leader="none" w:pos="708" w:val="clear"/>
          <w:tab w:leader="none" w:pos="1276" w:val="left"/>
        </w:tabs>
        <w:spacing w:after="0" w:before="220" w:line="240" w:lineRule="auto"/>
        <w:ind w:hanging="11" w:left="11" w:right="0"/>
        <w:contextualSpacing w:val="1"/>
        <w:jc w:val="both"/>
        <w:rPr>
          <w:sz w:val="28"/>
        </w:rPr>
      </w:pPr>
      <w:r>
        <w:rPr>
          <w:sz w:val="28"/>
        </w:rPr>
        <w:t>БИК 044525823 в БАНК ГПБ (АО) г. Москва;</w:t>
      </w:r>
    </w:p>
    <w:p w14:paraId="2B000000">
      <w:pPr>
        <w:pStyle w:val="Style_5"/>
        <w:widowControl w:val="0"/>
        <w:numPr>
          <w:ilvl w:val="0"/>
          <w:numId w:val="2"/>
        </w:numPr>
        <w:tabs>
          <w:tab w:leader="none" w:pos="708" w:val="clear"/>
          <w:tab w:leader="none" w:pos="1276" w:val="left"/>
        </w:tabs>
        <w:spacing w:after="0" w:before="220" w:line="240" w:lineRule="auto"/>
        <w:ind w:firstLine="709" w:left="0" w:right="0"/>
        <w:contextualSpacing w:val="1"/>
        <w:jc w:val="both"/>
        <w:rPr>
          <w:sz w:val="28"/>
        </w:rPr>
      </w:pPr>
      <w:r>
        <w:rPr>
          <w:sz w:val="28"/>
        </w:rPr>
        <w:t xml:space="preserve">осуществление операций с денежными средствами (задаток и сбор за участие в аукционе), в том числе их возврат в случаях, предусмотренных </w:t>
      </w:r>
      <w:r>
        <w:rPr>
          <w:sz w:val="28"/>
        </w:rPr>
        <w:fldChar w:fldCharType="begin"/>
      </w:r>
      <w:r>
        <w:rPr>
          <w:sz w:val="28"/>
        </w:rPr>
        <w:instrText>HYPERLINK \l "P151"</w:instrText>
      </w:r>
      <w:r>
        <w:rPr>
          <w:sz w:val="28"/>
        </w:rPr>
        <w:fldChar w:fldCharType="separate"/>
      </w:r>
      <w:r>
        <w:rPr>
          <w:sz w:val="28"/>
        </w:rPr>
        <w:t>частями 38</w:t>
      </w:r>
      <w:r>
        <w:rPr>
          <w:sz w:val="28"/>
        </w:rPr>
        <w:fldChar w:fldCharType="end"/>
      </w:r>
      <w:r>
        <w:rPr>
          <w:sz w:val="28"/>
        </w:rPr>
        <w:t xml:space="preserve"> и 40 настоящего Порядка и условий проведения аукциона, а также перечисление в доход бюджета Камчатского края в порядке, установленном частью 41 настоящего Порядка и условий проведения аукциона;</w:t>
      </w:r>
    </w:p>
    <w:p w14:paraId="2C000000">
      <w:pPr>
        <w:pStyle w:val="Style_5"/>
        <w:widowControl w:val="0"/>
        <w:numPr>
          <w:ilvl w:val="0"/>
          <w:numId w:val="2"/>
        </w:numPr>
        <w:tabs>
          <w:tab w:leader="none" w:pos="708" w:val="clear"/>
          <w:tab w:leader="none" w:pos="1276" w:val="left"/>
        </w:tabs>
        <w:spacing w:after="0" w:before="220" w:line="240" w:lineRule="auto"/>
        <w:ind w:firstLine="709" w:left="0" w:right="0"/>
        <w:contextualSpacing w:val="1"/>
        <w:jc w:val="both"/>
        <w:rPr>
          <w:sz w:val="28"/>
        </w:rPr>
      </w:pPr>
      <w:r>
        <w:rPr>
          <w:sz w:val="28"/>
        </w:rPr>
        <w:t>хранение электронных документов, связанных с организацией и проведением аукциона не менее 10 лет.</w:t>
      </w:r>
    </w:p>
    <w:p w14:paraId="2D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Дата окончания срока подачи заявок до 17 часов 00 минут (время камчатское) 13 ноября 2023 года.</w:t>
      </w:r>
    </w:p>
    <w:p w14:paraId="2E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Дата и время проведения аукциона 15 ноября 2023 года в 14 часов 00 минут (время камчатское).</w:t>
      </w:r>
    </w:p>
    <w:p w14:paraId="2F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Дата подписания членами аукционной комиссии протокола рассмотрения заявок на участие в аукционе – 14 ноября 2023 года.</w:t>
      </w:r>
    </w:p>
    <w:p w14:paraId="30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Дата начала срока предоставления заинтересованным лицам разъяснений содержания решения о проведении аукциона, порядка и условий проведения аукциона и требований к аукционной документации: дата опубликования объявления о проведении аукциона на право пользования участком недр местного значения «Прикарьерный».</w:t>
      </w:r>
    </w:p>
    <w:p w14:paraId="31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Дата окончания срока предоставления заинтересованным лицам разъяснений содержания решения о проведении аукциона, порядка и условий проведения аукциона и требований к аукционной документации: 13 ноября</w:t>
      </w:r>
      <w:r>
        <w:rPr>
          <w:color w:val="C9211E"/>
          <w:sz w:val="28"/>
        </w:rPr>
        <w:t xml:space="preserve"> </w:t>
      </w:r>
      <w:r>
        <w:rPr>
          <w:sz w:val="28"/>
        </w:rPr>
        <w:t>2023 года (до 17 часов 00 минут).</w:t>
      </w:r>
    </w:p>
    <w:p w14:paraId="32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Почтовый адрес и контактные телефоны, адрес электронной почты организатора аукциона: 683040, Россия, Камчатский край, г. Петропавловск-Камчатский, пл. Ленина, д. 1 (адрес места нахождения: г. Петропавловск-Камчатский, ул. Владивостокская, д. 2/1), тел. (4152) 27-55-86, 42-51-08, факс: (4152) 27-55-87, адрес электронной почты: priroda@kamgov.ru.</w:t>
      </w:r>
    </w:p>
    <w:p w14:paraId="33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 xml:space="preserve">Адрес электронной почты оператора электронной площадки: </w:t>
      </w:r>
      <w:r>
        <w:rPr>
          <w:color w:val="000000"/>
          <w:sz w:val="28"/>
        </w:rPr>
        <w:fldChar w:fldCharType="begin"/>
      </w:r>
      <w:r>
        <w:rPr>
          <w:color w:val="000000"/>
          <w:sz w:val="28"/>
        </w:rPr>
        <w:instrText>HYPERLINK "mailto:info@etpgpb.ru"</w:instrText>
      </w:r>
      <w:r>
        <w:rPr>
          <w:color w:val="000000"/>
          <w:sz w:val="28"/>
        </w:rPr>
        <w:fldChar w:fldCharType="separate"/>
      </w:r>
      <w:r>
        <w:rPr>
          <w:color w:val="000000"/>
          <w:sz w:val="28"/>
        </w:rPr>
        <w:t>info@etpgpb.ru</w:t>
      </w:r>
      <w:r>
        <w:rPr>
          <w:color w:val="000000"/>
          <w:sz w:val="28"/>
        </w:rPr>
        <w:fldChar w:fldCharType="end"/>
      </w:r>
      <w:r>
        <w:rPr>
          <w:sz w:val="28"/>
        </w:rPr>
        <w:t>.</w:t>
      </w:r>
    </w:p>
    <w:p w14:paraId="34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 xml:space="preserve">Аукцион проводится с целью выявления победителя на получение права пользования участком недр местного значения </w:t>
      </w:r>
      <w:r>
        <w:rPr>
          <w:spacing w:val="-1"/>
          <w:sz w:val="28"/>
        </w:rPr>
        <w:t>«Прикарьерный»</w:t>
      </w:r>
      <w:r>
        <w:rPr>
          <w:sz w:val="28"/>
        </w:rPr>
        <w:t xml:space="preserve">. </w:t>
      </w:r>
    </w:p>
    <w:p w14:paraId="35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Критерием выявления победителя при проведении аукциона является наибольший размер разового платежа за пользование участком недр местного значения.</w:t>
      </w:r>
    </w:p>
    <w:p w14:paraId="36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 xml:space="preserve">Минимальный (стартовый) размер разового платежа за пользование недрами: </w:t>
      </w:r>
      <w:r>
        <w:rPr>
          <w:color w:val="000000"/>
          <w:sz w:val="28"/>
        </w:rPr>
        <w:t>208 426 (двести восемь тысяч четыреста двадцать шесть) рублей.</w:t>
      </w:r>
    </w:p>
    <w:p w14:paraId="37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Срок и порядок внесения окончательного размера разового платежа за пользование недрами: окончательный размер разового платежа за пользование недрами устанавливается в протоколе о результатах аукциона по результатам аукциона или в протоколе рассмотрения заявок на участие в аукционе в случае, предусмотренном частью 8 статьи 13.1 Закона Российской Федерации от 21.02.1992 № 2395-1 «О недрах» (далее – Закон «О недрах»).</w:t>
      </w:r>
    </w:p>
    <w:p w14:paraId="38000000">
      <w:pPr>
        <w:pStyle w:val="Style_2"/>
        <w:tabs>
          <w:tab w:leader="none" w:pos="708" w:val="clear"/>
          <w:tab w:leader="none" w:pos="993" w:val="left"/>
          <w:tab w:leader="none" w:pos="1276" w:val="left"/>
        </w:tabs>
        <w:spacing w:line="240" w:lineRule="auto"/>
        <w:ind w:firstLine="709" w:left="0" w:right="0"/>
        <w:jc w:val="both"/>
        <w:rPr>
          <w:sz w:val="28"/>
        </w:rPr>
      </w:pPr>
      <w:r>
        <w:rPr>
          <w:sz w:val="28"/>
        </w:rPr>
        <w:t>В соответствии с частью 4 статьи 40 Закона «О недрах» победитель аукциона или иное лицо, которому предоставляется право пользования недрами и на которое оформляется лицензия на пользование недрами в соответствии с частью 8 статьи 13.1 Закона «О недрах», обязаны уплатить указанный в соответствующем протоколе окончательный размер разового платежа за пользование недрами в течение 30 дней со дня размещения на официальном сайте протокола о результатах аукциона, протокола рассмотрения заявок на участие в аукционе.</w:t>
      </w:r>
    </w:p>
    <w:p w14:paraId="39000000">
      <w:pPr>
        <w:pStyle w:val="Style_2"/>
        <w:tabs>
          <w:tab w:leader="none" w:pos="708" w:val="clear"/>
          <w:tab w:leader="none" w:pos="993" w:val="left"/>
          <w:tab w:leader="none" w:pos="1276" w:val="left"/>
        </w:tabs>
        <w:spacing w:line="240" w:lineRule="auto"/>
        <w:ind w:firstLine="709" w:left="0" w:right="0"/>
        <w:jc w:val="both"/>
        <w:rPr>
          <w:sz w:val="28"/>
        </w:rPr>
      </w:pPr>
      <w:r>
        <w:rPr>
          <w:sz w:val="28"/>
        </w:rPr>
        <w:t>Реквизиты для уплаты окончательного размера разового платежа за пользование недрами лицом, которому предоставляется право пользования недрами, приведены пункте 1 части 88 настоящего Порядка и условий проведения аукциона.</w:t>
      </w:r>
    </w:p>
    <w:p w14:paraId="3A000000">
      <w:pPr>
        <w:pStyle w:val="Style_2"/>
        <w:tabs>
          <w:tab w:leader="none" w:pos="708" w:val="clear"/>
          <w:tab w:leader="none" w:pos="993" w:val="left"/>
          <w:tab w:leader="none" w:pos="1276" w:val="left"/>
        </w:tabs>
        <w:spacing w:line="240" w:lineRule="auto"/>
        <w:ind w:firstLine="709" w:left="0" w:right="0"/>
        <w:jc w:val="both"/>
        <w:rPr>
          <w:sz w:val="28"/>
        </w:rPr>
      </w:pPr>
      <w:r>
        <w:rPr>
          <w:sz w:val="28"/>
        </w:rPr>
        <w:t>Датой внесения окончательного размера разового платежа является дата зачисления денежных средств в сумме, указанной в протоколе о результатах аукциона по результатам аукциона или в протоколе рассмотрения заявок на участие в аукционе в случае, предусмотренном частью 8 статьи 13.1 Закона «О недрах», по реквизитам, указанным в пункте 1 части 88 настоящего Порядка и условий проведения аукциона.</w:t>
      </w:r>
    </w:p>
    <w:p w14:paraId="3B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Размер «шага аукциона» равен 10 процентам величины минимального (стартового) размера разового платежа за пользование недрами и составляет 20 842,60 (двадцать тысяч восемьсот сорок два) рубля 60 копеек.</w:t>
      </w:r>
    </w:p>
    <w:p w14:paraId="3C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 xml:space="preserve">Размер задатка за участие в аукционе равен 100% размера минимального (стартового) размера разового платежа за пользование недрами и составляет </w:t>
      </w:r>
      <w:r>
        <w:rPr>
          <w:color w:val="000000"/>
          <w:sz w:val="28"/>
        </w:rPr>
        <w:t>208 426 (двести восемь тысяч четыреста двадцать шесть)</w:t>
      </w:r>
      <w:r>
        <w:rPr>
          <w:sz w:val="28"/>
        </w:rPr>
        <w:t xml:space="preserve"> рублей.</w:t>
      </w:r>
    </w:p>
    <w:p w14:paraId="3D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color w:val="111111"/>
          <w:sz w:val="28"/>
        </w:rPr>
        <w:t>Сумма сбора за участие в аукционе соста</w:t>
      </w:r>
      <w:r>
        <w:rPr>
          <w:sz w:val="28"/>
        </w:rPr>
        <w:t xml:space="preserve">вляет </w:t>
      </w:r>
      <w:r>
        <w:rPr>
          <w:color w:val="000000"/>
          <w:sz w:val="28"/>
        </w:rPr>
        <w:t>56 629</w:t>
      </w:r>
      <w:r>
        <w:rPr>
          <w:b w:val="0"/>
          <w:color w:val="000000"/>
          <w:sz w:val="28"/>
        </w:rPr>
        <w:t xml:space="preserve"> </w:t>
      </w:r>
      <w:r>
        <w:rPr>
          <w:color w:val="000000"/>
          <w:sz w:val="28"/>
        </w:rPr>
        <w:t>(пятьдесят шесть тысяч шестьсот двадцать девять)</w:t>
      </w:r>
      <w:r>
        <w:rPr>
          <w:sz w:val="28"/>
        </w:rPr>
        <w:t xml:space="preserve"> рублей (приложение 2 к Порядку и условиям проведения аукциона).</w:t>
      </w:r>
    </w:p>
    <w:p w14:paraId="3E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Размер государственной пошлины за выдачу лицензии и порядок ее внесения: государственная пошлина, предусмотренная абзацем 2 подпункта 92 пункта 1 статьи 333.33 Налогового кодекса Российской Федерации, уплачивается победителем аукциона или иным лицом, которому предоставляется право пользования недрами и на которое оформляется лицензия на пользование недрами в соответствии с частью 8 статьи 13.1 Закона «О недрах», по реквизитам:</w:t>
      </w:r>
    </w:p>
    <w:p w14:paraId="3F000000">
      <w:pPr>
        <w:pStyle w:val="Style_2"/>
        <w:numPr>
          <w:ilvl w:val="0"/>
          <w:numId w:val="0"/>
        </w:numPr>
        <w:spacing w:line="240" w:lineRule="auto"/>
        <w:ind w:firstLine="709" w:left="0" w:right="0"/>
        <w:outlineLvl w:val="0"/>
        <w:rPr>
          <w:sz w:val="28"/>
        </w:rPr>
      </w:pPr>
      <w:r>
        <w:rPr>
          <w:sz w:val="28"/>
        </w:rPr>
        <w:t>Получатель</w:t>
      </w:r>
      <w:r>
        <w:rPr>
          <w:b w:val="1"/>
          <w:sz w:val="28"/>
        </w:rPr>
        <w:t>:</w:t>
      </w:r>
      <w:r>
        <w:rPr>
          <w:sz w:val="28"/>
        </w:rPr>
        <w:t xml:space="preserve"> УФК по Камчатскому краю (Министерство природных ресурсов и экологии Камчатского края 04382000990)</w:t>
      </w:r>
    </w:p>
    <w:p w14:paraId="40000000">
      <w:pPr>
        <w:pStyle w:val="Style_2"/>
        <w:numPr>
          <w:ilvl w:val="0"/>
          <w:numId w:val="0"/>
        </w:numPr>
        <w:spacing w:line="240" w:lineRule="auto"/>
        <w:ind w:firstLine="0" w:left="709" w:right="0"/>
        <w:outlineLvl w:val="0"/>
        <w:rPr>
          <w:sz w:val="28"/>
        </w:rPr>
      </w:pPr>
      <w:r>
        <w:rPr>
          <w:sz w:val="28"/>
        </w:rPr>
        <w:t>Банк получателя: ОТДЕЛЕНИЕ ПЕТРОПАВЛОВСК-КАМЧАТСКИЙ БАНКА РОССИИ// УПРАВЛЕНИЕ ФЕДЕРАЛЬНОГО КАЗНАЧЕЙСТВА ПО КАМЧАТСКОМУ КРАЮ Г. ПЕТРОПАВЛОВСК-КАМЧАТСКИЙ</w:t>
      </w:r>
    </w:p>
    <w:p w14:paraId="41000000">
      <w:pPr>
        <w:pStyle w:val="Style_2"/>
        <w:numPr>
          <w:ilvl w:val="0"/>
          <w:numId w:val="0"/>
        </w:numPr>
        <w:spacing w:line="240" w:lineRule="auto"/>
        <w:ind w:firstLine="0" w:left="709" w:right="0"/>
        <w:outlineLvl w:val="0"/>
        <w:rPr>
          <w:b w:val="1"/>
          <w:sz w:val="28"/>
        </w:rPr>
      </w:pPr>
      <w:r>
        <w:rPr>
          <w:sz w:val="28"/>
        </w:rPr>
        <w:t>Казначейский счет (бывший расчетный счет):03100643000000013800</w:t>
      </w:r>
    </w:p>
    <w:p w14:paraId="42000000">
      <w:pPr>
        <w:pStyle w:val="Style_2"/>
        <w:spacing w:line="240" w:lineRule="auto"/>
        <w:ind w:firstLine="0" w:left="709" w:right="0"/>
        <w:rPr>
          <w:b w:val="1"/>
          <w:spacing w:val="-2"/>
          <w:sz w:val="28"/>
        </w:rPr>
      </w:pPr>
      <w:r>
        <w:rPr>
          <w:sz w:val="28"/>
        </w:rPr>
        <w:t>Единый казначейский счет (к/сч)</w:t>
      </w:r>
      <w:r>
        <w:rPr>
          <w:spacing w:val="-2"/>
          <w:sz w:val="28"/>
        </w:rPr>
        <w:t>: 40102810945370000031</w:t>
      </w:r>
    </w:p>
    <w:p w14:paraId="43000000">
      <w:pPr>
        <w:pStyle w:val="Style_2"/>
        <w:spacing w:line="240" w:lineRule="auto"/>
        <w:ind w:firstLine="0" w:left="709" w:right="0"/>
        <w:rPr>
          <w:sz w:val="28"/>
        </w:rPr>
      </w:pPr>
      <w:r>
        <w:rPr>
          <w:sz w:val="28"/>
        </w:rPr>
        <w:t>БИК 013002402</w:t>
      </w:r>
    </w:p>
    <w:p w14:paraId="44000000">
      <w:pPr>
        <w:pStyle w:val="Style_2"/>
        <w:spacing w:line="240" w:lineRule="auto"/>
        <w:ind w:firstLine="0" w:left="709" w:right="0"/>
        <w:jc w:val="both"/>
        <w:rPr>
          <w:i w:val="1"/>
          <w:sz w:val="28"/>
        </w:rPr>
      </w:pPr>
      <w:r>
        <w:rPr>
          <w:sz w:val="28"/>
        </w:rPr>
        <w:t xml:space="preserve">КБК 808 1 08 07082 01 1000 110 </w:t>
      </w:r>
    </w:p>
    <w:p w14:paraId="45000000">
      <w:pPr>
        <w:pStyle w:val="Style_2"/>
        <w:spacing w:line="240" w:lineRule="auto"/>
        <w:ind w:firstLine="0" w:left="709" w:right="0"/>
        <w:rPr>
          <w:sz w:val="28"/>
        </w:rPr>
      </w:pPr>
      <w:r>
        <w:rPr>
          <w:sz w:val="28"/>
        </w:rPr>
        <w:t>ИНН 4101120894; КПП 410101001</w:t>
      </w:r>
    </w:p>
    <w:p w14:paraId="46000000">
      <w:pPr>
        <w:pStyle w:val="Style_2"/>
        <w:spacing w:line="240" w:lineRule="auto"/>
        <w:ind w:firstLine="0" w:left="709" w:right="0"/>
        <w:rPr>
          <w:b w:val="1"/>
          <w:sz w:val="28"/>
        </w:rPr>
      </w:pPr>
      <w:r>
        <w:rPr>
          <w:sz w:val="28"/>
        </w:rPr>
        <w:t>ОКТМО</w:t>
      </w:r>
      <w:r>
        <w:rPr>
          <w:b w:val="1"/>
          <w:sz w:val="28"/>
        </w:rPr>
        <w:t xml:space="preserve"> </w:t>
      </w:r>
      <w:r>
        <w:rPr>
          <w:sz w:val="28"/>
        </w:rPr>
        <w:t>30701000.</w:t>
      </w:r>
    </w:p>
    <w:p w14:paraId="47000000">
      <w:pPr>
        <w:pStyle w:val="Style_5"/>
        <w:tabs>
          <w:tab w:leader="none" w:pos="708" w:val="clear"/>
          <w:tab w:leader="none" w:pos="993" w:val="left"/>
          <w:tab w:leader="none" w:pos="1276" w:val="left"/>
        </w:tabs>
        <w:spacing w:line="240" w:lineRule="auto"/>
        <w:ind w:firstLine="709" w:left="0" w:right="0"/>
        <w:jc w:val="both"/>
        <w:rPr>
          <w:sz w:val="28"/>
        </w:rPr>
      </w:pPr>
      <w:r>
        <w:rPr>
          <w:sz w:val="28"/>
        </w:rPr>
        <w:t>Оформление лицензии на пользование недрами в форме электронного документа осуществляется уполномоченным должностным лицом Министерства и не должно превышать 1 рабочий день с даты уплаты лицом, в отношении которого осуществляется оформление лицензии на пользование недрами, окончательного размера разового платежа за пользование недрами по результатам аукциона и государственной пошлины.</w:t>
      </w:r>
    </w:p>
    <w:p w14:paraId="48000000">
      <w:pPr>
        <w:pStyle w:val="Style_5"/>
        <w:numPr>
          <w:ilvl w:val="0"/>
          <w:numId w:val="1"/>
        </w:numPr>
        <w:tabs>
          <w:tab w:leader="none" w:pos="708" w:val="clear"/>
          <w:tab w:leader="none" w:pos="993" w:val="left"/>
          <w:tab w:leader="none" w:pos="1276" w:val="left"/>
        </w:tabs>
        <w:spacing w:line="240" w:lineRule="auto"/>
        <w:ind w:firstLine="709" w:left="0" w:right="0"/>
        <w:jc w:val="both"/>
        <w:rPr>
          <w:color w:val="000000"/>
          <w:sz w:val="28"/>
        </w:rPr>
      </w:pPr>
      <w:r>
        <w:rPr>
          <w:color w:val="000000"/>
          <w:sz w:val="28"/>
        </w:rPr>
        <w:t xml:space="preserve">Победителю аукциона будет предоставлено право пользования участком недр местного значения </w:t>
      </w:r>
      <w:r>
        <w:rPr>
          <w:color w:val="000000"/>
          <w:spacing w:val="-1"/>
          <w:sz w:val="28"/>
        </w:rPr>
        <w:t xml:space="preserve">«Прикарьерный» </w:t>
      </w:r>
      <w:r>
        <w:rPr>
          <w:color w:val="000000"/>
          <w:sz w:val="28"/>
        </w:rPr>
        <w:t xml:space="preserve">с целью геологического изучения недр, разведки и добычи песчано-гравийных пород путем оформления и выдачи лицензии на пользование недрами сроком </w:t>
      </w:r>
      <w:r>
        <w:rPr>
          <w:color w:val="000000"/>
          <w:sz w:val="28"/>
        </w:rPr>
        <w:t>на 20 лет.</w:t>
      </w:r>
    </w:p>
    <w:p w14:paraId="49000000">
      <w:pPr>
        <w:pStyle w:val="Style_2"/>
        <w:spacing w:line="240" w:lineRule="auto"/>
        <w:ind w:firstLine="709" w:left="0" w:right="0"/>
        <w:jc w:val="both"/>
        <w:rPr>
          <w:sz w:val="28"/>
        </w:rPr>
      </w:pPr>
      <w:r>
        <w:rPr>
          <w:sz w:val="28"/>
        </w:rPr>
        <w:t xml:space="preserve">Срок пользования участком недр местного значения исчисляется со дня государственной регистрации лицензии. </w:t>
      </w:r>
    </w:p>
    <w:p w14:paraId="4A000000">
      <w:pPr>
        <w:pStyle w:val="Style_5"/>
        <w:numPr>
          <w:ilvl w:val="0"/>
          <w:numId w:val="1"/>
        </w:numPr>
        <w:tabs>
          <w:tab w:leader="none" w:pos="708" w:val="clear"/>
          <w:tab w:leader="none" w:pos="993" w:val="left"/>
          <w:tab w:leader="none" w:pos="1276" w:val="left"/>
        </w:tabs>
        <w:spacing w:line="240" w:lineRule="auto"/>
        <w:ind w:firstLine="709" w:left="0" w:right="0"/>
        <w:jc w:val="both"/>
        <w:rPr>
          <w:color w:val="7030A0"/>
          <w:sz w:val="28"/>
        </w:rPr>
      </w:pPr>
      <w:r>
        <w:rPr>
          <w:sz w:val="28"/>
        </w:rPr>
        <w:t>К участию в аукционе допускаются субъекты предпринимательской деятельности, в том числе юридические лица, созданные в соответствии с законодательством Российской Федерации, индивидуальные предприниматели, являющиеся гражданами Российской Федерации, способные обеспечить эффективное и безопасное проведение работ при геологическом изучении, разведке и добыче полезного ископаемого на участке недр, обладающие квалифицированными специалистами, необходимыми финансовыми и техническими средствами</w:t>
      </w:r>
      <w:r>
        <w:rPr>
          <w:color w:val="7030A0"/>
          <w:sz w:val="28"/>
        </w:rPr>
        <w:t xml:space="preserve">. </w:t>
      </w:r>
    </w:p>
    <w:p w14:paraId="4B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В случае возникновения обстоятельств, препятствующих проведению аукциона в день и (или) время, установленные порядком и условиями проведения аукциона, организатором аукциона или председателем аукционной комиссии принимается решение о переносе даты и (или) времени проведения аукциона.</w:t>
      </w:r>
    </w:p>
    <w:p w14:paraId="4C000000">
      <w:pPr>
        <w:pStyle w:val="Style_2"/>
        <w:widowControl w:val="0"/>
        <w:tabs>
          <w:tab w:leader="none" w:pos="708" w:val="clear"/>
          <w:tab w:leader="none" w:pos="1134" w:val="left"/>
        </w:tabs>
        <w:spacing w:line="240" w:lineRule="auto"/>
        <w:ind w:firstLine="539" w:left="0" w:right="0"/>
        <w:jc w:val="both"/>
        <w:rPr>
          <w:sz w:val="28"/>
        </w:rPr>
      </w:pPr>
      <w:r>
        <w:rPr>
          <w:sz w:val="28"/>
        </w:rPr>
        <w:t xml:space="preserve">В случае, если решение о внесении изменений в порядок и условия проведения аукциона в целях переноса даты и (или) времени проведения аукциона принимается организатором аукциона до окончания срока подачи заявок, то при переносе даты проведения аукциона устанавливается новый срок подачи заявок, при этом срок подачи заявок продлевается таким образом, чтобы со дня размещения изменений на официальном сайте этот срок составлял не менее 5 дней. </w:t>
      </w:r>
    </w:p>
    <w:p w14:paraId="4D000000">
      <w:pPr>
        <w:pStyle w:val="Style_2"/>
        <w:widowControl w:val="0"/>
        <w:tabs>
          <w:tab w:leader="none" w:pos="708" w:val="clear"/>
          <w:tab w:leader="none" w:pos="1134" w:val="left"/>
        </w:tabs>
        <w:spacing w:line="240" w:lineRule="auto"/>
        <w:ind w:firstLine="539" w:left="0" w:right="0"/>
        <w:jc w:val="both"/>
        <w:rPr>
          <w:sz w:val="28"/>
        </w:rPr>
      </w:pPr>
      <w:r>
        <w:rPr>
          <w:sz w:val="28"/>
        </w:rPr>
        <w:t>В случае, если решение о переносе даты и (или) времени проведения аукциона принимается председателем аукционной комиссии после окончания срока подачи заявок, то срок подачи заявок не изменяется.</w:t>
      </w:r>
    </w:p>
    <w:p w14:paraId="4E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Решение о переносе даты и (или) времени проведения аукциона размещается организатором аукциона на официальном сайте в течение одного дня со дня принятия указанного решения. Не позднее одного часа с момента размещения указанного решения на официальном сайте оператор электронной площадки размещает такое решение на сайте электронной площадки.</w:t>
      </w:r>
    </w:p>
    <w:p w14:paraId="4F000000">
      <w:pPr>
        <w:pStyle w:val="Style_5"/>
        <w:numPr>
          <w:ilvl w:val="0"/>
          <w:numId w:val="1"/>
        </w:numPr>
        <w:tabs>
          <w:tab w:leader="none" w:pos="708" w:val="clear"/>
          <w:tab w:leader="none" w:pos="993" w:val="left"/>
          <w:tab w:leader="none" w:pos="1276" w:val="left"/>
        </w:tabs>
        <w:spacing w:line="240" w:lineRule="auto"/>
        <w:ind w:firstLine="709" w:left="0" w:right="0"/>
        <w:jc w:val="both"/>
        <w:rPr>
          <w:color w:val="7030A0"/>
          <w:sz w:val="28"/>
        </w:rPr>
      </w:pPr>
      <w:r>
        <w:rPr>
          <w:sz w:val="28"/>
        </w:rPr>
        <w:t>Организатор аукциона вправе принять решение о внесении изменений в порядок и условия проведения аукциона, решение о внесении изменений в регламент работы аукционной комиссии и решение о внесении изменений в требования к аукционной документации. При этом изменение границ участка недр, являющегося объектом аукциона, а также увеличение размера задатка и сбора за участие в аукционе и минимального (стартового) размера разового платежа за пользование недрами не допускаются, за исключением случаев исправления технических ошибок или опечаток в указанных сведениях. Решение о внесении изменений в решение о проведении аукциона, решение о внесении изменений в порядок и условия проведения аукциона, решение о внесении изменений в регламент работы аукционной комиссии и решение о внесении изменений в требования к аукционной документации принимаются до дня окончания срока подачи заявок, за исключением случаев, указанных в части 24 Порядка и условий проведения аукциона</w:t>
      </w:r>
      <w:r>
        <w:rPr>
          <w:color w:val="7030A0"/>
          <w:sz w:val="28"/>
        </w:rPr>
        <w:t>.</w:t>
      </w:r>
    </w:p>
    <w:p w14:paraId="50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 xml:space="preserve">В случае выявления технических ошибок или опечаток в решении о проведении аукциона, в порядке и условиях проведения аукциона, регламенте работы аукционной комиссии и требованиях к аукционной документации уполномоченный орган до дня проведения аукциона принимает решение о внесении изменений в такие решение. </w:t>
      </w:r>
    </w:p>
    <w:p w14:paraId="51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Соответствующие изменения размещаются организатором аукциона на официальном сайте до дня проведения аукциона, при этом срок подачи заявок не продлевается. Не позднее одного часа с момента размещения изменений на официальном сайте оператор электронной площадки размещает указанные изменения на сайте электронной площадки.</w:t>
      </w:r>
    </w:p>
    <w:p w14:paraId="52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Оператор электронной площадки в день размещения решения о переносе даты и (или) времени проведения аукциона направляет уведомления заявителям и участникам аукциона.</w:t>
      </w:r>
    </w:p>
    <w:p w14:paraId="53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 xml:space="preserve">Уполномоченный орган вправе принять решение об отмене аукциона. Решение об отмене аукциона размещается организатором аукциона на официальном сайте не позднее чем за 3 рабочих дня до дня окончания срока подачи заявок. Не позднее одного часа с момента размещения решения об отмене аукциона на официальном сайте оператор электронной площадки размещает указанное решение на сайте электронной площадки. </w:t>
      </w:r>
    </w:p>
    <w:p w14:paraId="54000000">
      <w:pPr>
        <w:pStyle w:val="Style_5"/>
        <w:tabs>
          <w:tab w:leader="none" w:pos="708" w:val="clear"/>
          <w:tab w:leader="none" w:pos="993" w:val="left"/>
          <w:tab w:leader="none" w:pos="1276" w:val="left"/>
        </w:tabs>
        <w:spacing w:line="240" w:lineRule="auto"/>
        <w:ind w:firstLine="709" w:left="0" w:right="0"/>
        <w:jc w:val="both"/>
        <w:rPr>
          <w:sz w:val="28"/>
        </w:rPr>
      </w:pPr>
      <w:r>
        <w:rPr>
          <w:sz w:val="28"/>
        </w:rPr>
        <w:t>Оператор электронной площадки возвращает заявителям заявки и прилагаемые к ним документы в течение одного часа с момента размещения решения об отмене аукциона на сайте электронной площадки с одновременным направлением заявителям уведомлений об отмене аукциона.</w:t>
      </w:r>
    </w:p>
    <w:p w14:paraId="55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В случае возникновения обстоятельств непреодолимой силы в соответствии с гражданским законодательством, при наличии решения контрольного (надзорного) органа об устранении выявленных при организации и проведении аукциона нарушений, принятого по результатам контрольного (надзорного) мероприятия, или на основании вступившего в силу судебного акта решение об отмене аукциона может быть принято вплоть до дня проведения аукциона.</w:t>
      </w:r>
    </w:p>
    <w:p w14:paraId="56000000">
      <w:pPr>
        <w:pStyle w:val="Style_5"/>
        <w:numPr>
          <w:ilvl w:val="0"/>
          <w:numId w:val="1"/>
        </w:numPr>
        <w:tabs>
          <w:tab w:leader="none" w:pos="708" w:val="clear"/>
          <w:tab w:leader="none" w:pos="1134" w:val="left"/>
          <w:tab w:leader="none" w:pos="1418" w:val="left"/>
        </w:tabs>
        <w:spacing w:line="240" w:lineRule="auto"/>
        <w:ind w:firstLine="709" w:left="0" w:right="0"/>
        <w:jc w:val="both"/>
        <w:rPr>
          <w:sz w:val="28"/>
        </w:rPr>
      </w:pPr>
      <w:r>
        <w:rPr>
          <w:sz w:val="28"/>
        </w:rPr>
        <w:t>Аукцион признается несостоявшимся в следующих случаях:</w:t>
      </w:r>
    </w:p>
    <w:p w14:paraId="57000000">
      <w:pPr>
        <w:pStyle w:val="Style_2"/>
        <w:widowControl w:val="0"/>
        <w:numPr>
          <w:ilvl w:val="0"/>
          <w:numId w:val="3"/>
        </w:numPr>
        <w:tabs>
          <w:tab w:leader="none" w:pos="708" w:val="clear"/>
          <w:tab w:leader="none" w:pos="1134" w:val="left"/>
          <w:tab w:leader="none" w:pos="1418" w:val="left"/>
        </w:tabs>
        <w:spacing w:line="240" w:lineRule="auto"/>
        <w:ind w:firstLine="709" w:left="0" w:right="0"/>
        <w:jc w:val="both"/>
        <w:rPr>
          <w:sz w:val="28"/>
        </w:rPr>
      </w:pPr>
      <w:r>
        <w:rPr>
          <w:sz w:val="28"/>
        </w:rPr>
        <w:t>отсутствие заявок на участие в аукционе;</w:t>
      </w:r>
    </w:p>
    <w:p w14:paraId="58000000">
      <w:pPr>
        <w:pStyle w:val="Style_2"/>
        <w:widowControl w:val="0"/>
        <w:numPr>
          <w:ilvl w:val="0"/>
          <w:numId w:val="3"/>
        </w:numPr>
        <w:tabs>
          <w:tab w:leader="none" w:pos="708" w:val="clear"/>
          <w:tab w:leader="none" w:pos="1134" w:val="left"/>
          <w:tab w:leader="none" w:pos="1418" w:val="left"/>
        </w:tabs>
        <w:spacing w:line="240" w:lineRule="auto"/>
        <w:ind w:firstLine="709" w:left="0" w:right="0"/>
        <w:jc w:val="both"/>
        <w:rPr>
          <w:sz w:val="28"/>
        </w:rPr>
      </w:pPr>
      <w:r>
        <w:rPr>
          <w:sz w:val="28"/>
        </w:rPr>
        <w:t>на участие в аукционе зарегистрирована одна заявка;</w:t>
      </w:r>
    </w:p>
    <w:p w14:paraId="59000000">
      <w:pPr>
        <w:pStyle w:val="Style_2"/>
        <w:widowControl w:val="0"/>
        <w:numPr>
          <w:ilvl w:val="0"/>
          <w:numId w:val="3"/>
        </w:numPr>
        <w:tabs>
          <w:tab w:leader="none" w:pos="708" w:val="clear"/>
          <w:tab w:leader="none" w:pos="1134" w:val="left"/>
          <w:tab w:leader="none" w:pos="1418" w:val="left"/>
        </w:tabs>
        <w:spacing w:line="240" w:lineRule="auto"/>
        <w:ind w:firstLine="709" w:left="0" w:right="0"/>
        <w:jc w:val="both"/>
        <w:rPr>
          <w:sz w:val="28"/>
        </w:rPr>
      </w:pPr>
      <w:r>
        <w:rPr>
          <w:sz w:val="28"/>
        </w:rPr>
        <w:t>наличие единственного участника аукциона в связи с допуском к участию в аукционе только одного заявителя или в связи с участием в аукционе только одного участника;</w:t>
      </w:r>
    </w:p>
    <w:p w14:paraId="5A000000">
      <w:pPr>
        <w:pStyle w:val="Style_2"/>
        <w:widowControl w:val="0"/>
        <w:numPr>
          <w:ilvl w:val="0"/>
          <w:numId w:val="3"/>
        </w:numPr>
        <w:tabs>
          <w:tab w:leader="none" w:pos="708" w:val="clear"/>
          <w:tab w:leader="none" w:pos="1134" w:val="left"/>
          <w:tab w:leader="none" w:pos="1418" w:val="left"/>
        </w:tabs>
        <w:spacing w:line="240" w:lineRule="auto"/>
        <w:ind w:firstLine="709" w:left="0" w:right="0"/>
        <w:jc w:val="both"/>
        <w:rPr>
          <w:sz w:val="28"/>
        </w:rPr>
      </w:pPr>
      <w:r>
        <w:rPr>
          <w:sz w:val="28"/>
        </w:rPr>
        <w:t>к участию в аукционе не допущены все заявители;</w:t>
      </w:r>
    </w:p>
    <w:p w14:paraId="5B000000">
      <w:pPr>
        <w:pStyle w:val="Style_2"/>
        <w:widowControl w:val="0"/>
        <w:numPr>
          <w:ilvl w:val="0"/>
          <w:numId w:val="3"/>
        </w:numPr>
        <w:tabs>
          <w:tab w:leader="none" w:pos="708" w:val="clear"/>
          <w:tab w:leader="none" w:pos="1134" w:val="left"/>
          <w:tab w:leader="none" w:pos="1418" w:val="left"/>
        </w:tabs>
        <w:spacing w:line="240" w:lineRule="auto"/>
        <w:ind w:firstLine="709" w:left="0" w:right="0"/>
        <w:jc w:val="both"/>
        <w:rPr>
          <w:sz w:val="28"/>
        </w:rPr>
      </w:pPr>
      <w:r>
        <w:rPr>
          <w:sz w:val="28"/>
        </w:rPr>
        <w:t>в ходе проведения аукциона не предложена величина разового платежа за пользование недрами выше минимального (стартового) размера разового платежа за пользование недрами.</w:t>
      </w:r>
    </w:p>
    <w:p w14:paraId="5C000000">
      <w:pPr>
        <w:pStyle w:val="Style_2"/>
        <w:widowControl w:val="0"/>
        <w:spacing w:line="240" w:lineRule="auto"/>
        <w:ind w:firstLine="0" w:left="540" w:right="0"/>
        <w:jc w:val="both"/>
        <w:rPr>
          <w:sz w:val="28"/>
        </w:rPr>
      </w:pPr>
    </w:p>
    <w:p w14:paraId="5D000000">
      <w:pPr>
        <w:pStyle w:val="Style_2"/>
        <w:spacing w:line="240" w:lineRule="auto"/>
        <w:ind/>
        <w:jc w:val="center"/>
        <w:rPr>
          <w:sz w:val="28"/>
        </w:rPr>
      </w:pPr>
      <w:r>
        <w:rPr>
          <w:sz w:val="28"/>
        </w:rPr>
        <w:t>Регламент работы аукционной комиссии</w:t>
      </w:r>
    </w:p>
    <w:p w14:paraId="5E000000">
      <w:pPr>
        <w:pStyle w:val="Style_2"/>
        <w:tabs>
          <w:tab w:leader="none" w:pos="708" w:val="clear"/>
          <w:tab w:leader="none" w:pos="993" w:val="left"/>
          <w:tab w:leader="none" w:pos="1276" w:val="left"/>
        </w:tabs>
        <w:spacing w:line="240" w:lineRule="auto"/>
        <w:ind/>
        <w:jc w:val="both"/>
        <w:rPr>
          <w:color w:val="7030A0"/>
          <w:sz w:val="28"/>
        </w:rPr>
      </w:pPr>
    </w:p>
    <w:p w14:paraId="5F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Аукцион проводится аукционной комиссией в составе, утвержденном приказом Министерства о проведении аукциона. Состав аукционной комиссии утверждается уполномоченным органом в количестве не менее 7 человек. Изменение состава аукционной комиссии допускается в связи с невозможностью участия члена аукционной комиссии в ее заседаниях вследствие отпуска, командировки, болезни или при наличии обстоятельств, не позволяющих принять участие в работе аукционной комиссии.</w:t>
      </w:r>
    </w:p>
    <w:p w14:paraId="60000000">
      <w:pPr>
        <w:pStyle w:val="Style_2"/>
        <w:tabs>
          <w:tab w:leader="none" w:pos="708" w:val="clear"/>
          <w:tab w:leader="none" w:pos="1276" w:val="left"/>
        </w:tabs>
        <w:spacing w:line="240" w:lineRule="auto"/>
        <w:ind w:firstLine="709" w:left="0" w:right="0"/>
        <w:jc w:val="both"/>
        <w:rPr>
          <w:sz w:val="28"/>
        </w:rPr>
      </w:pPr>
      <w:r>
        <w:rPr>
          <w:sz w:val="28"/>
        </w:rPr>
        <w:t>Решение об изменении состава аукционной комиссии принимается уполномоченным органом.</w:t>
      </w:r>
    </w:p>
    <w:p w14:paraId="61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 xml:space="preserve">Членами аукционной комиссии не могут быть лица, лично заинтересованные в результатах аукциона, либо лица, аффилированные с заявителями, в том числе лица, состоящие в штате заявителей, либо лица, на которых заявители способны оказать влияние. </w:t>
      </w:r>
    </w:p>
    <w:p w14:paraId="62000000">
      <w:pPr>
        <w:pStyle w:val="Style_5"/>
        <w:tabs>
          <w:tab w:leader="none" w:pos="708" w:val="clear"/>
          <w:tab w:leader="none" w:pos="993" w:val="left"/>
          <w:tab w:leader="none" w:pos="1276" w:val="left"/>
        </w:tabs>
        <w:spacing w:line="240" w:lineRule="auto"/>
        <w:ind w:firstLine="709" w:left="0" w:right="0"/>
        <w:jc w:val="both"/>
        <w:rPr>
          <w:sz w:val="28"/>
        </w:rPr>
      </w:pPr>
      <w:r>
        <w:rPr>
          <w:sz w:val="28"/>
        </w:rPr>
        <w:t>В случае выявления в составе аукционной комиссии указанных лиц решение об изменении состава аукционной комиссии принимается в срок не позднее 1 рабочего дня со дня выявления указанного обстоятельства.</w:t>
      </w:r>
    </w:p>
    <w:p w14:paraId="63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Руководит деятельностью аукционной комиссии и председательствует на ее заседаниях председатель аукционной комиссии. В отсутствие председателя аукционной комиссии его функции выполняет заместитель председателя аукционной комиссии.</w:t>
      </w:r>
    </w:p>
    <w:p w14:paraId="64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Заседание аукционной комиссии правомочно, если на нем присутствует более половины членов ее списочного состава, но не менее пяти человек.</w:t>
      </w:r>
    </w:p>
    <w:p w14:paraId="65000000">
      <w:pPr>
        <w:pStyle w:val="Style_6"/>
        <w:spacing w:line="240" w:lineRule="auto"/>
        <w:ind w:firstLine="708" w:left="0" w:right="0"/>
        <w:jc w:val="both"/>
        <w:rPr>
          <w:rFonts w:ascii="Times New Roman" w:hAnsi="Times New Roman"/>
          <w:sz w:val="28"/>
        </w:rPr>
      </w:pPr>
      <w:r>
        <w:rPr>
          <w:rFonts w:ascii="Times New Roman" w:hAnsi="Times New Roman"/>
          <w:sz w:val="28"/>
        </w:rPr>
        <w:t>Заседание аукционной комиссии может проводиться как в очной форме, так и (или) посредством видеоконференцсвязи.</w:t>
      </w:r>
    </w:p>
    <w:p w14:paraId="66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Передача в любой форме (в том числе нотариально удостоверенной) членами аукционной комиссии полномочий по принятию решений, отнесенных к компетенции аукционной комиссии, другим ее членам или третьим лицам не допускается.</w:t>
      </w:r>
    </w:p>
    <w:p w14:paraId="67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Решение аукционной комиссии считается принятым, если за него проголосовало более половины членов ее списочного состава, но не менее 4 членов аукционной комиссии. В случае равенства голосов решающим является голос председательствующего на заседании аукционной комиссии.</w:t>
      </w:r>
    </w:p>
    <w:p w14:paraId="68000000">
      <w:pPr>
        <w:pStyle w:val="Style_2"/>
        <w:spacing w:line="240" w:lineRule="auto"/>
        <w:ind/>
        <w:jc w:val="center"/>
        <w:rPr>
          <w:sz w:val="28"/>
        </w:rPr>
      </w:pPr>
    </w:p>
    <w:p w14:paraId="69000000">
      <w:pPr>
        <w:pStyle w:val="Style_2"/>
        <w:spacing w:line="240" w:lineRule="auto"/>
        <w:ind/>
        <w:jc w:val="center"/>
        <w:rPr>
          <w:sz w:val="28"/>
        </w:rPr>
      </w:pPr>
      <w:r>
        <w:rPr>
          <w:sz w:val="28"/>
        </w:rPr>
        <w:t xml:space="preserve">Порядок подачи заявок </w:t>
      </w:r>
    </w:p>
    <w:p w14:paraId="6A000000">
      <w:pPr>
        <w:pStyle w:val="Style_2"/>
        <w:spacing w:line="240" w:lineRule="auto"/>
        <w:ind/>
        <w:rPr>
          <w:color w:val="7030A0"/>
          <w:sz w:val="28"/>
        </w:rPr>
      </w:pPr>
      <w:bookmarkStart w:id="2" w:name="P133"/>
      <w:bookmarkEnd w:id="2"/>
    </w:p>
    <w:p w14:paraId="6B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Перед подачей заявки лицо, желающее принять участие в аукционе, перечисляет задаток и сбор за участие в аукционе в размере и по реквизитам, которые указаны в пункте 11 части 3 Порядка и условий проведения аукциона. Уплата задатка и сбора за участие в аукционе является обязательным условием допуска заявителя к участию в аукционе.</w:t>
      </w:r>
    </w:p>
    <w:p w14:paraId="6C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Датой внесения задатка является дата зачисления денежных средств в сумме, указанной в части 16 настоящего Порядка и условий проведения аукциона, по реквизитам, указанным в пункте 11 части 3 Порядка и условий проведения аукциона.</w:t>
      </w:r>
    </w:p>
    <w:p w14:paraId="6D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bookmarkStart w:id="3" w:name="P151"/>
      <w:bookmarkEnd w:id="3"/>
      <w:r>
        <w:rPr>
          <w:sz w:val="28"/>
        </w:rPr>
        <w:t>Сумма задатка, внесенная победителем аукциона, единственным заявителем или единственным участником аукциона, которому предоставляется право пользования участком недр, засчитывается в счет окончательного размера разового платежа за пользование недрами.</w:t>
      </w:r>
    </w:p>
    <w:p w14:paraId="6E000000">
      <w:pPr>
        <w:pStyle w:val="Style_2"/>
        <w:widowControl w:val="0"/>
        <w:spacing w:line="240" w:lineRule="auto"/>
        <w:ind w:firstLine="709" w:left="0" w:right="0"/>
        <w:jc w:val="both"/>
        <w:rPr>
          <w:sz w:val="28"/>
        </w:rPr>
      </w:pPr>
      <w:r>
        <w:rPr>
          <w:sz w:val="28"/>
        </w:rPr>
        <w:t>Заявителю и участнику аукциона, за исключением победителя аукциона, единственного заявителя или единственного участника аукциона, которым предоставляется право пользования участком недр в случае признания аукциона несостоявшимся, задаток возвращается в течение 5 рабочих дней со дня размещения на официальном сайте и на сайте электронной площадки протокола о результатах аукциона или протокола рассмотрения заявок на участие в аукционе соответственно.</w:t>
      </w:r>
    </w:p>
    <w:p w14:paraId="6F000000">
      <w:pPr>
        <w:pStyle w:val="Style_2"/>
        <w:widowControl w:val="0"/>
        <w:spacing w:line="240" w:lineRule="auto"/>
        <w:ind w:firstLine="709" w:left="0" w:right="0"/>
        <w:jc w:val="both"/>
        <w:rPr>
          <w:sz w:val="28"/>
        </w:rPr>
      </w:pPr>
      <w:r>
        <w:rPr>
          <w:sz w:val="28"/>
        </w:rPr>
        <w:t>В случае отмены проведения аукциона задаток возвращается заявителю и участнику аукциона в течение 5 рабочих дней со дня размещения на официальном сайте и на сайте электронной площадки решения Министерства об отмене проведения аукциона.</w:t>
      </w:r>
    </w:p>
    <w:p w14:paraId="70000000">
      <w:pPr>
        <w:pStyle w:val="Style_2"/>
        <w:widowControl w:val="0"/>
        <w:spacing w:line="240" w:lineRule="auto"/>
        <w:ind w:firstLine="709" w:left="0" w:right="0"/>
        <w:jc w:val="both"/>
        <w:rPr>
          <w:sz w:val="28"/>
        </w:rPr>
      </w:pPr>
      <w:r>
        <w:rPr>
          <w:sz w:val="28"/>
        </w:rPr>
        <w:t>Задаток победителю аукциона, не уплатившему окончательный размер разового платежа за пользование недрами в течение 30 дней со дня размещения на официальном сайте протокола о результатах аукциона, протокола рассмотрения заявок на участие в аукционе, и (или) в размере, установленном протоколом о результатах аукциона, не возвращается.</w:t>
      </w:r>
    </w:p>
    <w:p w14:paraId="71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Датой внесения сбора за участие в аукционе является дата зачисления денежных средств в сумме, указанной в части 17 Порядка и условий проведения аукциона, по реквизитам, указанным в пункте 11 части 3 Порядка и условий проведения аукциона.</w:t>
      </w:r>
    </w:p>
    <w:p w14:paraId="72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Сбор за участие в аукционе независимо от результатов проведения аукциона заявителю не возвращается, за исключением случаев отзыва заявки заявителем, отказа в приеме заявки аукционной комиссией и отмены проведения аукциона, а также случаев признания судом по иску заинтересованного лица недействительным аукциона, проведенного с нарушением требований, установленных настоящим Порядком и условиями проведения аукциона.</w:t>
      </w:r>
    </w:p>
    <w:p w14:paraId="73000000">
      <w:pPr>
        <w:pStyle w:val="Style_5"/>
        <w:tabs>
          <w:tab w:leader="none" w:pos="708" w:val="clear"/>
          <w:tab w:leader="none" w:pos="993" w:val="left"/>
          <w:tab w:leader="none" w:pos="1276" w:val="left"/>
        </w:tabs>
        <w:spacing w:line="240" w:lineRule="auto"/>
        <w:ind w:firstLine="737" w:left="0" w:right="0"/>
        <w:jc w:val="both"/>
        <w:rPr>
          <w:sz w:val="28"/>
        </w:rPr>
      </w:pPr>
      <w:r>
        <w:rPr>
          <w:sz w:val="28"/>
        </w:rPr>
        <w:t>Сбор за участие в аукционе возвращается заявителю в следующем порядке:</w:t>
      </w:r>
    </w:p>
    <w:p w14:paraId="74000000">
      <w:pPr>
        <w:pStyle w:val="Style_5"/>
        <w:widowControl w:val="0"/>
        <w:numPr>
          <w:ilvl w:val="0"/>
          <w:numId w:val="4"/>
        </w:numPr>
        <w:tabs>
          <w:tab w:leader="none" w:pos="708" w:val="clear"/>
          <w:tab w:leader="none" w:pos="1134" w:val="left"/>
        </w:tabs>
        <w:spacing w:after="0" w:before="220" w:line="240" w:lineRule="auto"/>
        <w:ind w:firstLine="709" w:left="0" w:right="0"/>
        <w:contextualSpacing w:val="1"/>
        <w:jc w:val="both"/>
        <w:rPr>
          <w:sz w:val="28"/>
        </w:rPr>
      </w:pPr>
      <w:r>
        <w:rPr>
          <w:sz w:val="28"/>
        </w:rPr>
        <w:t>в случае отзыва заявки заявителем – в течение 5 рабочих дней со дня получения оператором электронной площадки уведомления заявителя об отзыве заявки;</w:t>
      </w:r>
    </w:p>
    <w:p w14:paraId="75000000">
      <w:pPr>
        <w:pStyle w:val="Style_5"/>
        <w:widowControl w:val="0"/>
        <w:numPr>
          <w:ilvl w:val="0"/>
          <w:numId w:val="4"/>
        </w:numPr>
        <w:tabs>
          <w:tab w:leader="none" w:pos="708" w:val="clear"/>
          <w:tab w:leader="none" w:pos="1134" w:val="left"/>
        </w:tabs>
        <w:spacing w:after="0" w:before="220" w:line="240" w:lineRule="auto"/>
        <w:ind w:firstLine="709" w:left="0" w:right="0"/>
        <w:contextualSpacing w:val="1"/>
        <w:jc w:val="both"/>
        <w:rPr>
          <w:sz w:val="28"/>
        </w:rPr>
      </w:pPr>
      <w:r>
        <w:rPr>
          <w:sz w:val="28"/>
        </w:rPr>
        <w:t>в случае отказа в приеме заявки аукционной комиссией – в течение 5 рабочих дней со дня размещения на официальном сайте и на сайте электронной площадки протокола рассмотрения заявок на участие в аукционе;</w:t>
      </w:r>
    </w:p>
    <w:p w14:paraId="76000000">
      <w:pPr>
        <w:pStyle w:val="Style_5"/>
        <w:widowControl w:val="0"/>
        <w:numPr>
          <w:ilvl w:val="0"/>
          <w:numId w:val="4"/>
        </w:numPr>
        <w:tabs>
          <w:tab w:leader="none" w:pos="708" w:val="clear"/>
          <w:tab w:leader="none" w:pos="1134" w:val="left"/>
        </w:tabs>
        <w:spacing w:after="0" w:before="220" w:line="240" w:lineRule="auto"/>
        <w:ind w:firstLine="709" w:left="0" w:right="0"/>
        <w:contextualSpacing w:val="1"/>
        <w:jc w:val="both"/>
        <w:rPr>
          <w:sz w:val="28"/>
        </w:rPr>
      </w:pPr>
      <w:r>
        <w:rPr>
          <w:sz w:val="28"/>
        </w:rPr>
        <w:t>в случае отмены проведения аукциона – в течение 5 рабочих дней со дня размещения на официальном сайте и на сайте электронной площадки решения уполномоченного органа об отмене проведения аукциона;</w:t>
      </w:r>
    </w:p>
    <w:p w14:paraId="77000000">
      <w:pPr>
        <w:pStyle w:val="Style_5"/>
        <w:widowControl w:val="0"/>
        <w:numPr>
          <w:ilvl w:val="0"/>
          <w:numId w:val="4"/>
        </w:numPr>
        <w:tabs>
          <w:tab w:leader="none" w:pos="708" w:val="clear"/>
          <w:tab w:leader="none" w:pos="1134" w:val="left"/>
        </w:tabs>
        <w:spacing w:after="0" w:before="220" w:line="240" w:lineRule="auto"/>
        <w:ind w:firstLine="709" w:left="0" w:right="0"/>
        <w:contextualSpacing w:val="1"/>
        <w:jc w:val="both"/>
        <w:rPr>
          <w:sz w:val="28"/>
        </w:rPr>
      </w:pPr>
      <w:r>
        <w:rPr>
          <w:sz w:val="28"/>
        </w:rPr>
        <w:t xml:space="preserve">в случае признания судом по иску заинтересованного лица недействительным аукциона, проведенного с нарушением требований, установленных настоящим приказом, – в порядке, предусмотренном </w:t>
      </w:r>
      <w:r>
        <w:rPr>
          <w:sz w:val="28"/>
        </w:rPr>
        <w:fldChar w:fldCharType="begin"/>
      </w:r>
      <w:r>
        <w:rPr>
          <w:sz w:val="28"/>
        </w:rPr>
        <w:instrText>HYPERLINK "consultantplus://offline/ref=B080A55EEAA5E55DF447DAC5FB40C0C815C40190FA7685FA3C95CF62FB9F7F358CD399671AD453F5BAD78A6A2AECD920AB29CA3E1889Y3R1E"</w:instrText>
      </w:r>
      <w:r>
        <w:rPr>
          <w:sz w:val="28"/>
        </w:rPr>
        <w:fldChar w:fldCharType="separate"/>
      </w:r>
      <w:r>
        <w:rPr>
          <w:sz w:val="28"/>
        </w:rPr>
        <w:t>статьей 242.1</w:t>
      </w:r>
      <w:r>
        <w:rPr>
          <w:sz w:val="28"/>
        </w:rPr>
        <w:fldChar w:fldCharType="end"/>
      </w:r>
      <w:r>
        <w:rPr>
          <w:sz w:val="28"/>
        </w:rPr>
        <w:t xml:space="preserve"> Бюджетного кодекса Российской Федерации.</w:t>
      </w:r>
    </w:p>
    <w:p w14:paraId="78000000">
      <w:pPr>
        <w:pStyle w:val="Style_5"/>
        <w:numPr>
          <w:ilvl w:val="0"/>
          <w:numId w:val="1"/>
        </w:numPr>
        <w:tabs>
          <w:tab w:leader="none" w:pos="708" w:val="clear"/>
          <w:tab w:leader="none" w:pos="993" w:val="left"/>
          <w:tab w:leader="none" w:pos="1134" w:val="left"/>
        </w:tabs>
        <w:spacing w:line="240" w:lineRule="auto"/>
        <w:ind w:firstLine="709" w:left="0" w:right="0"/>
        <w:jc w:val="both"/>
        <w:rPr>
          <w:sz w:val="28"/>
        </w:rPr>
      </w:pPr>
      <w:r>
        <w:rPr>
          <w:sz w:val="28"/>
        </w:rPr>
        <w:t>Суммы задатков и сборов за участие в аукционе, которые не были возвращены заявителям и участникам аукциона по вышеперечисленным основаниям, оператор электронной площадки перечисляет в бюджет Камчатского края в течение 5 рабочих дней со дня размещения на официальном сайте и на электронной площадке протокола о результатах аукциона, протокола рассмотрения заявок на участие в аукционе.</w:t>
      </w:r>
    </w:p>
    <w:p w14:paraId="79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Любое лицо, зарегистрированное на электронной площадке, вправе направить с использованием программно-аппаратных средств электронной площадки запрос о разъяснении содержания решения о проведении аукциона, порядка и условий проведения аукциона и требований к аукционной документации (далее – запрос). При этом указанное лицо вправе направить не более чем 3 запроса в отношении одного аукциона.</w:t>
      </w:r>
    </w:p>
    <w:p w14:paraId="7A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Прием заявки и прилагаемых к ней документов осуществляется в сроки, установленные настоящим Порядком и условиями проведения аукциона.</w:t>
      </w:r>
    </w:p>
    <w:p w14:paraId="7B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Заявка подается путем заполнения заявителем, прошедшим регистрацию на электронной площадке в соответствии с регламентом электронной площадки, электронной формы заявки, установленной требованиями к аукционной документации и подписываемой с использованием усиленной квалифицированной электронной подписи заявителя либо лица, имеющего право действовать от имени заявителя, с приложением следующих электронных документов:</w:t>
      </w:r>
    </w:p>
    <w:p w14:paraId="7C000000">
      <w:pPr>
        <w:pStyle w:val="Style_5"/>
        <w:widowControl w:val="0"/>
        <w:numPr>
          <w:ilvl w:val="0"/>
          <w:numId w:val="5"/>
        </w:numPr>
        <w:tabs>
          <w:tab w:leader="none" w:pos="708" w:val="clear"/>
          <w:tab w:leader="none" w:pos="1276" w:val="left"/>
        </w:tabs>
        <w:spacing w:after="0" w:before="220" w:line="240" w:lineRule="auto"/>
        <w:ind w:firstLine="709" w:left="0" w:right="0"/>
        <w:contextualSpacing w:val="1"/>
        <w:jc w:val="both"/>
        <w:rPr>
          <w:sz w:val="28"/>
        </w:rPr>
      </w:pPr>
      <w:r>
        <w:rPr>
          <w:sz w:val="28"/>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должна содержать также доверенность на осуществление действий от имени заявителя, заверенную печатью заявителя (при наличии) и подписанную руководителем или иным уполномоченным руководителем лицом;</w:t>
      </w:r>
    </w:p>
    <w:p w14:paraId="7D000000">
      <w:pPr>
        <w:pStyle w:val="Style_5"/>
        <w:widowControl w:val="0"/>
        <w:numPr>
          <w:ilvl w:val="0"/>
          <w:numId w:val="5"/>
        </w:numPr>
        <w:tabs>
          <w:tab w:leader="none" w:pos="708" w:val="clear"/>
          <w:tab w:leader="none" w:pos="1276" w:val="left"/>
        </w:tabs>
        <w:spacing w:after="0" w:before="220" w:line="240" w:lineRule="auto"/>
        <w:ind w:firstLine="709" w:left="0" w:right="0"/>
        <w:contextualSpacing w:val="1"/>
        <w:jc w:val="both"/>
        <w:rPr>
          <w:sz w:val="28"/>
        </w:rPr>
      </w:pPr>
      <w:r>
        <w:rPr>
          <w:sz w:val="28"/>
        </w:rPr>
        <w:t>заверенная заявителем копия решения уполномоченных органов управления заявителя о назначении единоличного исполнительного органа заявителя;</w:t>
      </w:r>
    </w:p>
    <w:p w14:paraId="7E000000">
      <w:pPr>
        <w:pStyle w:val="Style_5"/>
        <w:widowControl w:val="0"/>
        <w:numPr>
          <w:ilvl w:val="0"/>
          <w:numId w:val="5"/>
        </w:numPr>
        <w:tabs>
          <w:tab w:leader="none" w:pos="708" w:val="clear"/>
          <w:tab w:leader="none" w:pos="1276" w:val="left"/>
        </w:tabs>
        <w:spacing w:after="0" w:before="220" w:line="240" w:lineRule="auto"/>
        <w:ind w:firstLine="709" w:left="0" w:right="0"/>
        <w:contextualSpacing w:val="1"/>
        <w:jc w:val="both"/>
        <w:rPr>
          <w:sz w:val="28"/>
        </w:rPr>
      </w:pPr>
      <w:r>
        <w:rPr>
          <w:sz w:val="28"/>
        </w:rPr>
        <w:t>перечень лиц, входящих в одну группу лиц с заявителем, по форме, утвержденной Федеральной антимонопольной службой, – для юридического лица, а также выписка из реестра акционеров заявителя, полученная (оформленная) не ранее чем за один месяц до дня подачи заявки (для акционерного общества);</w:t>
      </w:r>
    </w:p>
    <w:p w14:paraId="7F000000">
      <w:pPr>
        <w:pStyle w:val="Style_5"/>
        <w:widowControl w:val="0"/>
        <w:numPr>
          <w:ilvl w:val="0"/>
          <w:numId w:val="5"/>
        </w:numPr>
        <w:tabs>
          <w:tab w:leader="none" w:pos="708" w:val="clear"/>
          <w:tab w:leader="none" w:pos="1276" w:val="left"/>
        </w:tabs>
        <w:spacing w:after="0" w:before="220" w:line="240" w:lineRule="auto"/>
        <w:ind w:firstLine="709" w:left="0" w:right="0"/>
        <w:contextualSpacing w:val="1"/>
        <w:jc w:val="both"/>
        <w:rPr>
          <w:sz w:val="28"/>
        </w:rPr>
      </w:pPr>
      <w:r>
        <w:rPr>
          <w:sz w:val="28"/>
        </w:rPr>
        <w:t>справка с указанием следующих сведений:</w:t>
      </w:r>
    </w:p>
    <w:p w14:paraId="80000000">
      <w:pPr>
        <w:pStyle w:val="Style_5"/>
        <w:widowControl w:val="0"/>
        <w:numPr>
          <w:ilvl w:val="0"/>
          <w:numId w:val="6"/>
        </w:numPr>
        <w:tabs>
          <w:tab w:leader="none" w:pos="708" w:val="clear"/>
          <w:tab w:leader="none" w:pos="1134" w:val="left"/>
        </w:tabs>
        <w:spacing w:after="0" w:before="220" w:line="240" w:lineRule="auto"/>
        <w:ind w:firstLine="709" w:left="0" w:right="0"/>
        <w:contextualSpacing w:val="1"/>
        <w:jc w:val="both"/>
        <w:rPr>
          <w:sz w:val="28"/>
        </w:rPr>
      </w:pPr>
      <w:r>
        <w:rPr>
          <w:sz w:val="28"/>
        </w:rPr>
        <w:t>для юридического лица – полное наименование, организационно-правовая форма, основной государственный регистрационный номер и идентификационный номер налогоплательщика;</w:t>
      </w:r>
    </w:p>
    <w:p w14:paraId="81000000">
      <w:pPr>
        <w:pStyle w:val="Style_5"/>
        <w:widowControl w:val="0"/>
        <w:numPr>
          <w:ilvl w:val="0"/>
          <w:numId w:val="6"/>
        </w:numPr>
        <w:tabs>
          <w:tab w:leader="none" w:pos="708" w:val="clear"/>
          <w:tab w:leader="none" w:pos="1134" w:val="left"/>
        </w:tabs>
        <w:spacing w:after="0" w:before="220" w:line="240" w:lineRule="auto"/>
        <w:ind w:firstLine="709" w:left="0" w:right="0"/>
        <w:contextualSpacing w:val="1"/>
        <w:jc w:val="both"/>
        <w:rPr>
          <w:sz w:val="28"/>
        </w:rPr>
      </w:pPr>
      <w:r>
        <w:rPr>
          <w:sz w:val="28"/>
        </w:rPr>
        <w:t>для индивидуального предпринимателя – фамилия, имя, отчество (при наличии), основной государственный регистрационный номер индивидуального предпринимателя и идентификационный номер налогоплательщика;</w:t>
      </w:r>
    </w:p>
    <w:p w14:paraId="82000000">
      <w:pPr>
        <w:pStyle w:val="Style_5"/>
        <w:widowControl w:val="0"/>
        <w:numPr>
          <w:ilvl w:val="0"/>
          <w:numId w:val="5"/>
        </w:numPr>
        <w:tabs>
          <w:tab w:leader="none" w:pos="708" w:val="clear"/>
          <w:tab w:leader="none" w:pos="1134" w:val="left"/>
          <w:tab w:leader="none" w:pos="1276" w:val="left"/>
        </w:tabs>
        <w:spacing w:after="0" w:before="220" w:line="240" w:lineRule="auto"/>
        <w:ind w:firstLine="709" w:left="0" w:right="0"/>
        <w:contextualSpacing w:val="1"/>
        <w:jc w:val="both"/>
        <w:rPr>
          <w:sz w:val="28"/>
        </w:rPr>
      </w:pPr>
      <w:r>
        <w:rPr>
          <w:sz w:val="28"/>
        </w:rPr>
        <w:t>решение уполномоченного органа управления заявителя об участии в аукционе;</w:t>
      </w:r>
    </w:p>
    <w:p w14:paraId="83000000">
      <w:pPr>
        <w:pStyle w:val="Style_5"/>
        <w:widowControl w:val="0"/>
        <w:numPr>
          <w:ilvl w:val="0"/>
          <w:numId w:val="5"/>
        </w:numPr>
        <w:tabs>
          <w:tab w:leader="none" w:pos="708" w:val="clear"/>
          <w:tab w:leader="none" w:pos="1134" w:val="left"/>
          <w:tab w:leader="none" w:pos="1276" w:val="left"/>
        </w:tabs>
        <w:spacing w:after="0" w:before="220" w:line="240" w:lineRule="auto"/>
        <w:ind w:firstLine="709" w:left="0" w:right="0"/>
        <w:contextualSpacing w:val="1"/>
        <w:jc w:val="both"/>
        <w:rPr>
          <w:sz w:val="28"/>
        </w:rPr>
      </w:pPr>
      <w:bookmarkStart w:id="4" w:name="P173"/>
      <w:bookmarkEnd w:id="4"/>
      <w:r>
        <w:rPr>
          <w:sz w:val="28"/>
        </w:rPr>
        <w:t>данные о том, что заявитель обладает или будет обладать финансовыми средствами, необходимыми для эффективного и безопасного осуществления пользования недрами:</w:t>
      </w:r>
    </w:p>
    <w:p w14:paraId="84000000">
      <w:pPr>
        <w:pStyle w:val="Style_5"/>
        <w:widowControl w:val="0"/>
        <w:numPr>
          <w:ilvl w:val="0"/>
          <w:numId w:val="6"/>
        </w:numPr>
        <w:tabs>
          <w:tab w:leader="none" w:pos="708" w:val="clear"/>
          <w:tab w:leader="none" w:pos="1134" w:val="left"/>
        </w:tabs>
        <w:spacing w:after="0" w:before="220" w:line="240" w:lineRule="auto"/>
        <w:ind w:firstLine="709" w:left="0" w:right="0"/>
        <w:contextualSpacing w:val="1"/>
        <w:jc w:val="both"/>
        <w:rPr>
          <w:sz w:val="28"/>
        </w:rPr>
      </w:pPr>
      <w:r>
        <w:rPr>
          <w:sz w:val="28"/>
        </w:rPr>
        <w:t>копия годовой бухгалтерской (финансовой) отчетности (с приложением всех обязательных форм) за последний отчетный период, предшествующий дате подачи заявки, или за предыдущий отчетный период, предшествующий дате подачи заявки, в случае если сроки представления годовой бухгалтерской (финансовой) отчетности за последний отчетный период на день подачи заявки не истекли, с отметкой налогового органа о ее принятии или с приложением заверенных заявителем квитанций, подтверждающих прием налоговым органом бухгалтерской (финансовой) отчетности;</w:t>
      </w:r>
    </w:p>
    <w:p w14:paraId="85000000">
      <w:pPr>
        <w:pStyle w:val="Style_5"/>
        <w:widowControl w:val="0"/>
        <w:numPr>
          <w:ilvl w:val="0"/>
          <w:numId w:val="6"/>
        </w:numPr>
        <w:tabs>
          <w:tab w:leader="none" w:pos="708" w:val="clear"/>
          <w:tab w:leader="none" w:pos="1134" w:val="left"/>
        </w:tabs>
        <w:spacing w:after="0" w:before="220" w:line="240" w:lineRule="auto"/>
        <w:ind w:firstLine="709" w:left="0" w:right="0"/>
        <w:contextualSpacing w:val="1"/>
        <w:jc w:val="both"/>
        <w:rPr>
          <w:sz w:val="28"/>
        </w:rPr>
      </w:pPr>
      <w:bookmarkStart w:id="5" w:name="P175"/>
      <w:bookmarkEnd w:id="5"/>
      <w:r>
        <w:rPr>
          <w:sz w:val="28"/>
        </w:rPr>
        <w:t>справки из банка об оборотах денежных средств по счетам заявителя в течение месяца, предшествующего месяцу подачи заявки, и остатке денежных средств на счетах заявителя (согласно разъяснительному письму Роснедр от 06.04.2022 № ЕП-05-30/6175, размер денежных средств на счету заявителя должен быть достаточен для финансирования первоочередных работ, связанных с намечаемым пользованием недрами (подготовка проектной документации, проведение геологоразведочных работ в течение первого года), указанных в заключенных заявителем договорах подряда на их проведение);</w:t>
      </w:r>
    </w:p>
    <w:p w14:paraId="86000000">
      <w:pPr>
        <w:pStyle w:val="Style_5"/>
        <w:widowControl w:val="0"/>
        <w:numPr>
          <w:ilvl w:val="0"/>
          <w:numId w:val="6"/>
        </w:numPr>
        <w:tabs>
          <w:tab w:leader="none" w:pos="708" w:val="clear"/>
          <w:tab w:leader="none" w:pos="1134" w:val="left"/>
        </w:tabs>
        <w:spacing w:after="0" w:before="220" w:line="240" w:lineRule="auto"/>
        <w:ind w:firstLine="709" w:left="0" w:right="0"/>
        <w:contextualSpacing w:val="1"/>
        <w:jc w:val="both"/>
        <w:rPr>
          <w:sz w:val="28"/>
        </w:rPr>
      </w:pPr>
      <w:r>
        <w:rPr>
          <w:sz w:val="28"/>
        </w:rPr>
        <w:t xml:space="preserve">договоры (копии договоров) займа, заключенные на день подачи заявки, в том числе заключенные под отлагательным условием в соответствии со </w:t>
      </w:r>
      <w:r>
        <w:rPr>
          <w:sz w:val="28"/>
        </w:rPr>
        <w:fldChar w:fldCharType="begin"/>
      </w:r>
      <w:r>
        <w:rPr>
          <w:sz w:val="28"/>
        </w:rPr>
        <w:instrText>HYPERLINK "consultantplus://offline/ref=B080A55EEAA5E55DF447DAC5FB40C0C815C40092FD7085FA3C95CF62FB9F7F358CD399641CD253FEEC8D9A6E63B8D13FAE34D43F068933B8YAR9E"</w:instrText>
      </w:r>
      <w:r>
        <w:rPr>
          <w:sz w:val="28"/>
        </w:rPr>
        <w:fldChar w:fldCharType="separate"/>
      </w:r>
      <w:r>
        <w:rPr>
          <w:sz w:val="28"/>
        </w:rPr>
        <w:t>статьей 157</w:t>
      </w:r>
      <w:r>
        <w:rPr>
          <w:sz w:val="28"/>
        </w:rPr>
        <w:fldChar w:fldCharType="end"/>
      </w:r>
      <w:r>
        <w:rPr>
          <w:sz w:val="28"/>
        </w:rPr>
        <w:t xml:space="preserve"> Гражданского кодекса Российской Федерации, с приложением справки из банка об остатках денежных средств на счетах займодавцев в размере, достаточном для исполнения их обязательств по представленным договорам займа, которые не исполнены на момент подачи заявки (в случае привлечения финансовых средств по договорам займа);</w:t>
      </w:r>
    </w:p>
    <w:p w14:paraId="87000000">
      <w:pPr>
        <w:pStyle w:val="Style_5"/>
        <w:widowControl w:val="0"/>
        <w:numPr>
          <w:ilvl w:val="0"/>
          <w:numId w:val="6"/>
        </w:numPr>
        <w:tabs>
          <w:tab w:leader="none" w:pos="708" w:val="clear"/>
          <w:tab w:leader="none" w:pos="1134" w:val="left"/>
        </w:tabs>
        <w:spacing w:after="0" w:before="220" w:line="240" w:lineRule="auto"/>
        <w:ind w:firstLine="709" w:left="0" w:right="0"/>
        <w:contextualSpacing w:val="1"/>
        <w:jc w:val="both"/>
        <w:rPr>
          <w:sz w:val="28"/>
        </w:rPr>
      </w:pPr>
      <w:bookmarkStart w:id="6" w:name="P177"/>
      <w:bookmarkEnd w:id="6"/>
      <w:r>
        <w:rPr>
          <w:sz w:val="28"/>
        </w:rPr>
        <w:t xml:space="preserve">кредитные договоры (копии кредитных договоров), заключенные на день подачи заявки, в том числе заключенные под отлагательным условием в соответствии со </w:t>
      </w:r>
      <w:r>
        <w:rPr>
          <w:sz w:val="28"/>
        </w:rPr>
        <w:fldChar w:fldCharType="begin"/>
      </w:r>
      <w:r>
        <w:rPr>
          <w:sz w:val="28"/>
        </w:rPr>
        <w:instrText>HYPERLINK "consultantplus://offline/ref=B080A55EEAA5E55DF447DAC5FB40C0C815C40092FD7085FA3C95CF62FB9F7F358CD399641CD253FEEC8D9A6E63B8D13FAE34D43F068933B8YAR9E"</w:instrText>
      </w:r>
      <w:r>
        <w:rPr>
          <w:sz w:val="28"/>
        </w:rPr>
        <w:fldChar w:fldCharType="separate"/>
      </w:r>
      <w:r>
        <w:rPr>
          <w:sz w:val="28"/>
        </w:rPr>
        <w:t>статьей 157</w:t>
      </w:r>
      <w:r>
        <w:rPr>
          <w:sz w:val="28"/>
        </w:rPr>
        <w:fldChar w:fldCharType="end"/>
      </w:r>
      <w:r>
        <w:rPr>
          <w:sz w:val="28"/>
        </w:rPr>
        <w:t xml:space="preserve"> Гражданского кодекса Российской Федерации (в случае привлечения финансовых средств по договорам кредита), при этом сумма финансовых средств, которыми обладает или будет обладать заявитель, должна быть подтверждена в размере не менее двойного минимального (стартового) размера разового платежа за пользование недрами, установленного порядком и условиями проведения аукциона;</w:t>
      </w:r>
    </w:p>
    <w:p w14:paraId="88000000">
      <w:pPr>
        <w:pStyle w:val="Style_5"/>
        <w:widowControl w:val="0"/>
        <w:numPr>
          <w:ilvl w:val="0"/>
          <w:numId w:val="5"/>
        </w:numPr>
        <w:tabs>
          <w:tab w:leader="none" w:pos="708" w:val="clear"/>
          <w:tab w:leader="none" w:pos="1134" w:val="left"/>
          <w:tab w:leader="none" w:pos="1276" w:val="left"/>
        </w:tabs>
        <w:spacing w:after="0" w:before="220" w:line="240" w:lineRule="auto"/>
        <w:ind w:firstLine="709" w:left="0" w:right="0"/>
        <w:contextualSpacing w:val="1"/>
        <w:jc w:val="both"/>
        <w:rPr>
          <w:sz w:val="28"/>
        </w:rPr>
      </w:pPr>
      <w:bookmarkStart w:id="7" w:name="P178"/>
      <w:bookmarkEnd w:id="7"/>
      <w:r>
        <w:rPr>
          <w:sz w:val="28"/>
        </w:rPr>
        <w:t>данные о том, что заявитель обладает или будет обладать квалифицированными специалистами и техническими средствами, необходимыми для эффективного и безопасного осуществления пользования недрами:</w:t>
      </w:r>
    </w:p>
    <w:p w14:paraId="89000000">
      <w:pPr>
        <w:pStyle w:val="Style_5"/>
        <w:widowControl w:val="0"/>
        <w:numPr>
          <w:ilvl w:val="0"/>
          <w:numId w:val="6"/>
        </w:numPr>
        <w:tabs>
          <w:tab w:leader="none" w:pos="708" w:val="clear"/>
          <w:tab w:leader="none" w:pos="1134" w:val="left"/>
        </w:tabs>
        <w:spacing w:after="0" w:before="220" w:line="240" w:lineRule="auto"/>
        <w:ind w:firstLine="709" w:left="0" w:right="0"/>
        <w:contextualSpacing w:val="1"/>
        <w:jc w:val="both"/>
        <w:rPr>
          <w:sz w:val="28"/>
        </w:rPr>
      </w:pPr>
      <w:r>
        <w:rPr>
          <w:sz w:val="28"/>
        </w:rPr>
        <w:t>перечень квалифицированных специалистов, являющихся сотрудниками заявителя, а также квалифицированных специалистов юридических и физических лиц, привлекаемых для осуществления пользования участком недр (в случае если осуществление отдельных видов деятельности, связанных с пользованием участком недр, планируется осуществлять с привлечением юридических или физических лиц), с приложением штатных расписаний заявителя и (или) юридических лиц, индивидуальных предпринимателей, привлекаемых для осуществления пользования участком недр, подтверждающих наличие квалифицированных специалистов, необходимых для эффективного и безопасного осуществления пользования участком недр; в перечне квалифицированных специалистов указываются фамилия, имя, отчество (при наличии), должность, квалификация каждого специалиста, реквизиты трудового или гражданско-правового договора, заключенного со специалистом, и информация о том, является ли специалист сотрудником заявителя или сотрудником юридического лица, индивидуального предпринимателя, привлекаемого для осуществления пользования участком недр;</w:t>
      </w:r>
    </w:p>
    <w:p w14:paraId="8A000000">
      <w:pPr>
        <w:pStyle w:val="Style_5"/>
        <w:widowControl w:val="0"/>
        <w:numPr>
          <w:ilvl w:val="0"/>
          <w:numId w:val="6"/>
        </w:numPr>
        <w:tabs>
          <w:tab w:leader="none" w:pos="708" w:val="clear"/>
          <w:tab w:leader="none" w:pos="1134" w:val="left"/>
        </w:tabs>
        <w:spacing w:after="0" w:before="220" w:line="240" w:lineRule="auto"/>
        <w:ind w:firstLine="709" w:left="0" w:right="0"/>
        <w:contextualSpacing w:val="1"/>
        <w:jc w:val="both"/>
        <w:rPr>
          <w:sz w:val="28"/>
        </w:rPr>
      </w:pPr>
      <w:r>
        <w:rPr>
          <w:sz w:val="28"/>
        </w:rPr>
        <w:t>перечень технических средств заявителя, а также технических средств юридических и физических лиц, привлекаемых для осуществления пользования участком недр (в случае если осуществление отдельных видов деятельности, связанных с пользованием участком недр, планируется осуществлять с привлечением юридических или физических лиц), с приложением данных регистров бухгалтерского учета, отражающих информацию по основным средствам заявителя и (или) юридических лиц, привлекаемых для осуществления пользования участком недр, подтверждающую наличие технических средств, необходимых для эффективного и безопасного осуществления пользования участком недр; в перечне технических средств указываются наименования технических средств, их количество, заводские, инвентарные или регистрационные номера, реквизиты документов, подтверждающих нахождение таких технических средств во владении и пользовании заявителя и (или) юридического, физического лица, привлекаемого для осуществления пользования участком недр;</w:t>
      </w:r>
    </w:p>
    <w:p w14:paraId="8B000000">
      <w:pPr>
        <w:pStyle w:val="Style_5"/>
        <w:widowControl w:val="0"/>
        <w:numPr>
          <w:ilvl w:val="0"/>
          <w:numId w:val="6"/>
        </w:numPr>
        <w:tabs>
          <w:tab w:leader="none" w:pos="708" w:val="clear"/>
          <w:tab w:leader="none" w:pos="1134" w:val="left"/>
        </w:tabs>
        <w:spacing w:after="0" w:before="220" w:line="240" w:lineRule="auto"/>
        <w:ind w:firstLine="709" w:left="0" w:right="0"/>
        <w:contextualSpacing w:val="1"/>
        <w:jc w:val="both"/>
        <w:rPr>
          <w:sz w:val="28"/>
        </w:rPr>
      </w:pPr>
      <w:r>
        <w:rPr>
          <w:sz w:val="28"/>
        </w:rPr>
        <w:t xml:space="preserve">копии договоров с юридическими и физическими лицами, привлекаемыми для осуществления пользования участком недр, в том числе заключенные под отлагательным условием в соответствии со </w:t>
      </w:r>
      <w:r>
        <w:rPr>
          <w:sz w:val="28"/>
        </w:rPr>
        <w:fldChar w:fldCharType="begin"/>
      </w:r>
      <w:r>
        <w:rPr>
          <w:sz w:val="28"/>
        </w:rPr>
        <w:instrText>HYPERLINK "consultantplus://offline/ref=B080A55EEAA5E55DF447DAC5FB40C0C815C40092FD7085FA3C95CF62FB9F7F358CD399641CD253FEEC8D9A6E63B8D13FAE34D43F068933B8YAR9E"</w:instrText>
      </w:r>
      <w:r>
        <w:rPr>
          <w:sz w:val="28"/>
        </w:rPr>
        <w:fldChar w:fldCharType="separate"/>
      </w:r>
      <w:r>
        <w:rPr>
          <w:sz w:val="28"/>
        </w:rPr>
        <w:t>статьей 157</w:t>
      </w:r>
      <w:r>
        <w:rPr>
          <w:sz w:val="28"/>
        </w:rPr>
        <w:fldChar w:fldCharType="end"/>
      </w:r>
      <w:r>
        <w:rPr>
          <w:sz w:val="28"/>
        </w:rPr>
        <w:t xml:space="preserve"> Гражданского кодекса Российской Федерации (в случае если осуществление отдельных видов деятельности, связанных с пользованием участком недр, планируется проводить с привлечением юридических или физических лиц);</w:t>
      </w:r>
    </w:p>
    <w:p w14:paraId="8C000000">
      <w:pPr>
        <w:pStyle w:val="Style_5"/>
        <w:widowControl w:val="0"/>
        <w:numPr>
          <w:ilvl w:val="0"/>
          <w:numId w:val="5"/>
        </w:numPr>
        <w:tabs>
          <w:tab w:leader="none" w:pos="708" w:val="clear"/>
          <w:tab w:leader="none" w:pos="1134" w:val="left"/>
          <w:tab w:leader="none" w:pos="1276" w:val="left"/>
        </w:tabs>
        <w:spacing w:after="0" w:before="220" w:line="240" w:lineRule="auto"/>
        <w:ind w:firstLine="709" w:left="0" w:right="0"/>
        <w:contextualSpacing w:val="1"/>
        <w:jc w:val="both"/>
        <w:rPr>
          <w:sz w:val="28"/>
        </w:rPr>
      </w:pPr>
      <w:r>
        <w:rPr>
          <w:sz w:val="28"/>
        </w:rPr>
        <w:t>справка с описанием технологии проведения работ, которые будут осуществляться на участке недр, подписанная заявителем или лицом, имеющим право действовать от имени заявителя;</w:t>
      </w:r>
    </w:p>
    <w:p w14:paraId="8D000000">
      <w:pPr>
        <w:pStyle w:val="Style_5"/>
        <w:widowControl w:val="0"/>
        <w:numPr>
          <w:ilvl w:val="0"/>
          <w:numId w:val="5"/>
        </w:numPr>
        <w:tabs>
          <w:tab w:leader="none" w:pos="708" w:val="clear"/>
          <w:tab w:leader="none" w:pos="1134" w:val="left"/>
          <w:tab w:leader="none" w:pos="1276" w:val="left"/>
        </w:tabs>
        <w:spacing w:after="0" w:before="220" w:line="240" w:lineRule="auto"/>
        <w:ind w:firstLine="709" w:left="0" w:right="0"/>
        <w:contextualSpacing w:val="1"/>
        <w:jc w:val="both"/>
        <w:rPr>
          <w:sz w:val="28"/>
        </w:rPr>
      </w:pPr>
      <w:bookmarkStart w:id="8" w:name="P183"/>
      <w:bookmarkEnd w:id="8"/>
      <w:r>
        <w:rPr>
          <w:sz w:val="28"/>
        </w:rPr>
        <w:t xml:space="preserve">перечень лицензий на осуществление отдельных видов деятельности, необходимых для осуществления пользования участком недр в соответствии с планируемой технологией проведения работ и предусмотренных Федеральным </w:t>
      </w:r>
      <w:r>
        <w:rPr>
          <w:sz w:val="28"/>
        </w:rPr>
        <w:fldChar w:fldCharType="begin"/>
      </w:r>
      <w:r>
        <w:rPr>
          <w:sz w:val="28"/>
        </w:rPr>
        <w:instrText>HYPERLINK "consultantplus://offline/ref=B080A55EEAA5E55DF447DAC5FB40C0C812CC0490F97385FA3C95CF62FB9F7F359ED3C1681DD744FEED98CC3F25YERFE"</w:instrText>
      </w:r>
      <w:r>
        <w:rPr>
          <w:sz w:val="28"/>
        </w:rPr>
        <w:fldChar w:fldCharType="separate"/>
      </w:r>
      <w:r>
        <w:rPr>
          <w:sz w:val="28"/>
        </w:rPr>
        <w:t>законом</w:t>
      </w:r>
      <w:r>
        <w:rPr>
          <w:sz w:val="28"/>
        </w:rPr>
        <w:fldChar w:fldCharType="end"/>
      </w:r>
      <w:r>
        <w:rPr>
          <w:sz w:val="28"/>
        </w:rPr>
        <w:t xml:space="preserve"> от 04.05.2011 № 99-ФЗ «О лицензировании отдельных видов деятельности» в отношении заявителя, а также привлеченных им юридических и физических лиц (в случае если осуществление отдельных видов деятельности, связанных с пользованием участком недр, планируется осуществлять с привлечением юридических или физических лиц). В этом перечне указываются регистрационные номера лицензий и даты их предоставления.</w:t>
      </w:r>
    </w:p>
    <w:p w14:paraId="8E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Документы, составленные на иностранном языке, принимаются с переводом на русский язык, нотариально засвидетельствованным в соответствии с законодательством Российской Федерации о нотариате.</w:t>
      </w:r>
    </w:p>
    <w:p w14:paraId="8F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 xml:space="preserve">Подавая заявку, заявитель соглашается с положениями, приведенными в решении о проведении аукциона, Порядком и условиями проведения аукциона, требованиями к аукционной документации, со включением условий пользования участком недр, предусмотренных порядком и условиями проведения аукциона, в лицензию на пользование недрами, а также со включением сведений, предусмотренных </w:t>
      </w:r>
      <w:r>
        <w:rPr>
          <w:sz w:val="28"/>
        </w:rPr>
        <w:fldChar w:fldCharType="begin"/>
      </w:r>
      <w:r>
        <w:rPr>
          <w:sz w:val="28"/>
        </w:rPr>
        <w:instrText>HYPERLINK "consultantplus://offline/ref=B080A55EEAA5E55DF447DAC5FB40C0C812CD0394FE7385FA3C95CF62FB9F7F358CD399601AD551AABFC29B3226E8C23EA834D63C1AY8R9E"</w:instrText>
      </w:r>
      <w:r>
        <w:rPr>
          <w:sz w:val="28"/>
        </w:rPr>
        <w:fldChar w:fldCharType="separate"/>
      </w:r>
      <w:r>
        <w:rPr>
          <w:sz w:val="28"/>
        </w:rPr>
        <w:t>частью первой статьи 14.1</w:t>
      </w:r>
      <w:r>
        <w:rPr>
          <w:sz w:val="28"/>
        </w:rPr>
        <w:fldChar w:fldCharType="end"/>
      </w:r>
      <w:r>
        <w:rPr>
          <w:sz w:val="28"/>
        </w:rPr>
        <w:t xml:space="preserve"> Закона «О недрах», в реестр недобросовестных участников аукционов на право пользования участками недр в случае признания заявителя победителем аукциона и неуплаты им в срок, установленный </w:t>
      </w:r>
      <w:r>
        <w:rPr>
          <w:sz w:val="28"/>
        </w:rPr>
        <w:fldChar w:fldCharType="begin"/>
      </w:r>
      <w:r>
        <w:rPr>
          <w:sz w:val="28"/>
        </w:rPr>
        <w:instrText>HYPERLINK "consultantplus://offline/ref=B080A55EEAA5E55DF447DAC5FB40C0C812CD0394FE7385FA3C95CF62FB9F7F358CD3996218D751AABFC29B3226E8C23EA834D63C1AY8R9E"</w:instrText>
      </w:r>
      <w:r>
        <w:rPr>
          <w:sz w:val="28"/>
        </w:rPr>
        <w:fldChar w:fldCharType="separate"/>
      </w:r>
      <w:r>
        <w:rPr>
          <w:sz w:val="28"/>
        </w:rPr>
        <w:t>частью четвертой статьи 40</w:t>
      </w:r>
      <w:r>
        <w:rPr>
          <w:sz w:val="28"/>
        </w:rPr>
        <w:fldChar w:fldCharType="end"/>
      </w:r>
      <w:r>
        <w:rPr>
          <w:sz w:val="28"/>
        </w:rPr>
        <w:t xml:space="preserve"> Закона Российской Федерации «О недрах», и (или) в размере, установленном протоколом о результатах аукциона, окончательного размера разового платежа за пользование недрами.</w:t>
      </w:r>
    </w:p>
    <w:p w14:paraId="90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 xml:space="preserve">Документы, подтверждающие наличие квалифицированных специалистов, необходимых финансовых и технических средств и соответствующих лицензий для эффективного и безопасного осуществления пользования участком недр, действуют в течение календарного года, за исключением документов, предусмотренных </w:t>
      </w:r>
      <w:r>
        <w:rPr>
          <w:sz w:val="28"/>
        </w:rPr>
        <w:fldChar w:fldCharType="begin"/>
      </w:r>
      <w:r>
        <w:rPr>
          <w:sz w:val="28"/>
        </w:rPr>
        <w:instrText>HYPERLINK \l "P175"</w:instrText>
      </w:r>
      <w:r>
        <w:rPr>
          <w:sz w:val="28"/>
        </w:rPr>
        <w:fldChar w:fldCharType="separate"/>
      </w:r>
      <w:r>
        <w:rPr>
          <w:sz w:val="28"/>
        </w:rPr>
        <w:t>абзацами третьим</w:t>
      </w:r>
      <w:r>
        <w:rPr>
          <w:sz w:val="28"/>
        </w:rPr>
        <w:fldChar w:fldCharType="end"/>
      </w:r>
      <w:r>
        <w:rPr>
          <w:sz w:val="28"/>
        </w:rPr>
        <w:t xml:space="preserve"> – </w:t>
      </w:r>
      <w:r>
        <w:rPr>
          <w:sz w:val="28"/>
        </w:rPr>
        <w:fldChar w:fldCharType="begin"/>
      </w:r>
      <w:r>
        <w:rPr>
          <w:sz w:val="28"/>
        </w:rPr>
        <w:instrText>HYPERLINK \l "P177"</w:instrText>
      </w:r>
      <w:r>
        <w:rPr>
          <w:sz w:val="28"/>
        </w:rPr>
        <w:fldChar w:fldCharType="separate"/>
      </w:r>
      <w:r>
        <w:rPr>
          <w:sz w:val="28"/>
        </w:rPr>
        <w:t xml:space="preserve">пятым пункта 6 части </w:t>
      </w:r>
      <w:r>
        <w:rPr>
          <w:sz w:val="28"/>
        </w:rPr>
        <w:fldChar w:fldCharType="end"/>
      </w:r>
      <w:r>
        <w:rPr>
          <w:sz w:val="28"/>
        </w:rPr>
        <w:t>44 настоящего Порядка.</w:t>
      </w:r>
    </w:p>
    <w:p w14:paraId="91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Оператор электронной площадки обеспечивает прием и регистрацию заявок и прилагаемых к ним документов в электронном журнале приема заявок.</w:t>
      </w:r>
    </w:p>
    <w:p w14:paraId="92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Оператор электронной площадки присваивает заявке идентификационный номер с указанием даты и времени ее приема и подтверждает путем направления заявителю уведомления о получение заявки с указанием присвоенного ей идентификационного номера в течение одного часа с момента ее получения.</w:t>
      </w:r>
    </w:p>
    <w:p w14:paraId="93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Уведомление о получении заявки в течение одного часа с момента ее получения также направляется оператором электронной площадки организатору аукциона. Указанное уведомление содержит идентификационный номер заявки, наименование заявителя, наименование (при наличии) участка недр, являющегося объектом аукциона, и номер объявления о проведении аукциона, при этом возможность просмотра заявки и прилагаемых к ней документов обеспечивается оператором электронной площадки начиная со дня, следующего за днем окончания срока подачи заявок, установленного порядком и условиями проведения аукциона.</w:t>
      </w:r>
    </w:p>
    <w:p w14:paraId="94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bookmarkStart w:id="9" w:name="P191"/>
      <w:bookmarkEnd w:id="9"/>
      <w:r>
        <w:rPr>
          <w:sz w:val="28"/>
        </w:rPr>
        <w:t>Программно-аппаратными средствами оператора электронной площадки предусматриваются следующие случаи, влекущие невозможность подачи заявителем заявки:</w:t>
      </w:r>
    </w:p>
    <w:p w14:paraId="95000000">
      <w:pPr>
        <w:pStyle w:val="Style_5"/>
        <w:widowControl w:val="0"/>
        <w:numPr>
          <w:ilvl w:val="0"/>
          <w:numId w:val="7"/>
        </w:numPr>
        <w:tabs>
          <w:tab w:leader="none" w:pos="708" w:val="clear"/>
          <w:tab w:leader="none" w:pos="1276" w:val="left"/>
        </w:tabs>
        <w:spacing w:after="0" w:before="220" w:line="240" w:lineRule="auto"/>
        <w:ind w:firstLine="709" w:left="0" w:right="0"/>
        <w:contextualSpacing w:val="1"/>
        <w:jc w:val="both"/>
        <w:rPr>
          <w:sz w:val="28"/>
        </w:rPr>
      </w:pPr>
      <w:r>
        <w:rPr>
          <w:sz w:val="28"/>
        </w:rPr>
        <w:t>наличие неотозванной заявки, ранее поданной заявителем для участия в этом же аукционе;</w:t>
      </w:r>
    </w:p>
    <w:p w14:paraId="96000000">
      <w:pPr>
        <w:pStyle w:val="Style_5"/>
        <w:widowControl w:val="0"/>
        <w:numPr>
          <w:ilvl w:val="0"/>
          <w:numId w:val="7"/>
        </w:numPr>
        <w:tabs>
          <w:tab w:leader="none" w:pos="708" w:val="clear"/>
          <w:tab w:leader="none" w:pos="1276" w:val="left"/>
        </w:tabs>
        <w:spacing w:after="0" w:before="220" w:line="240" w:lineRule="auto"/>
        <w:ind w:firstLine="709" w:left="0" w:right="0"/>
        <w:contextualSpacing w:val="1"/>
        <w:jc w:val="both"/>
        <w:rPr>
          <w:sz w:val="28"/>
        </w:rPr>
      </w:pPr>
      <w:r>
        <w:rPr>
          <w:sz w:val="28"/>
        </w:rPr>
        <w:t>подача заявки с нарушением требований к оформлению документов, прилагаемых к заявке, предусмотренных частью 44 настоящего Порядка и условий проведения аукциона;</w:t>
      </w:r>
    </w:p>
    <w:p w14:paraId="97000000">
      <w:pPr>
        <w:pStyle w:val="Style_5"/>
        <w:widowControl w:val="0"/>
        <w:numPr>
          <w:ilvl w:val="0"/>
          <w:numId w:val="7"/>
        </w:numPr>
        <w:tabs>
          <w:tab w:leader="none" w:pos="708" w:val="clear"/>
          <w:tab w:leader="none" w:pos="1276" w:val="left"/>
        </w:tabs>
        <w:spacing w:after="0" w:before="220" w:line="240" w:lineRule="auto"/>
        <w:ind w:firstLine="709" w:left="0" w:right="0"/>
        <w:contextualSpacing w:val="1"/>
        <w:jc w:val="both"/>
        <w:rPr>
          <w:sz w:val="28"/>
        </w:rPr>
      </w:pPr>
      <w:r>
        <w:rPr>
          <w:sz w:val="28"/>
        </w:rPr>
        <w:t>подача заявки после дня окончания срока подачи заявок;</w:t>
      </w:r>
    </w:p>
    <w:p w14:paraId="98000000">
      <w:pPr>
        <w:pStyle w:val="Style_5"/>
        <w:widowControl w:val="0"/>
        <w:numPr>
          <w:ilvl w:val="0"/>
          <w:numId w:val="7"/>
        </w:numPr>
        <w:tabs>
          <w:tab w:leader="none" w:pos="708" w:val="clear"/>
          <w:tab w:leader="none" w:pos="1276" w:val="left"/>
        </w:tabs>
        <w:spacing w:after="0" w:before="220" w:line="240" w:lineRule="auto"/>
        <w:ind w:firstLine="709" w:left="0" w:right="0"/>
        <w:contextualSpacing w:val="1"/>
        <w:jc w:val="both"/>
        <w:rPr>
          <w:sz w:val="28"/>
        </w:rPr>
      </w:pPr>
      <w:r>
        <w:rPr>
          <w:sz w:val="28"/>
        </w:rPr>
        <w:t>подача заявки с нарушением требований, установленных регламентом</w:t>
      </w:r>
      <w:r>
        <w:rPr>
          <w:color w:val="7030A0"/>
          <w:sz w:val="28"/>
        </w:rPr>
        <w:t xml:space="preserve"> </w:t>
      </w:r>
      <w:r>
        <w:rPr>
          <w:sz w:val="28"/>
        </w:rPr>
        <w:t>электронной площадки;</w:t>
      </w:r>
    </w:p>
    <w:p w14:paraId="99000000">
      <w:pPr>
        <w:pStyle w:val="Style_5"/>
        <w:widowControl w:val="0"/>
        <w:numPr>
          <w:ilvl w:val="0"/>
          <w:numId w:val="7"/>
        </w:numPr>
        <w:tabs>
          <w:tab w:leader="none" w:pos="708" w:val="clear"/>
          <w:tab w:leader="none" w:pos="1276" w:val="left"/>
        </w:tabs>
        <w:spacing w:after="0" w:before="220" w:line="240" w:lineRule="auto"/>
        <w:ind w:firstLine="709" w:left="0" w:right="0"/>
        <w:contextualSpacing w:val="1"/>
        <w:jc w:val="both"/>
        <w:rPr>
          <w:sz w:val="28"/>
        </w:rPr>
      </w:pPr>
      <w:r>
        <w:rPr>
          <w:sz w:val="28"/>
        </w:rPr>
        <w:t>неуплата задатка и сбора за участие в аукционе.</w:t>
      </w:r>
    </w:p>
    <w:p w14:paraId="9A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Заявитель вправе не позднее дня окончания срока подачи заявок отозвать заявку путем направления уведомления об ее отзыве оператору электронной площадки.</w:t>
      </w:r>
    </w:p>
    <w:p w14:paraId="9B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bookmarkStart w:id="10" w:name="P198"/>
      <w:bookmarkEnd w:id="10"/>
      <w:r>
        <w:rPr>
          <w:sz w:val="28"/>
        </w:rPr>
        <w:t>Изменение заявки и прилагаемых к ней документов допускается путем подачи заявителем новой заявки в установленные Порядком и условиями проведения аукциона сроки подачи заявки, при этом первоначальная заявка должна быть отозвана.</w:t>
      </w:r>
    </w:p>
    <w:p w14:paraId="9C000000">
      <w:pPr>
        <w:pStyle w:val="Style_5"/>
        <w:tabs>
          <w:tab w:leader="none" w:pos="708" w:val="clear"/>
          <w:tab w:leader="none" w:pos="993" w:val="left"/>
          <w:tab w:leader="none" w:pos="1276" w:val="left"/>
        </w:tabs>
        <w:spacing w:line="240" w:lineRule="auto"/>
        <w:ind w:firstLine="0" w:left="709" w:right="0"/>
        <w:jc w:val="both"/>
        <w:rPr>
          <w:color w:val="7030A0"/>
          <w:sz w:val="28"/>
        </w:rPr>
      </w:pPr>
    </w:p>
    <w:p w14:paraId="9D000000">
      <w:pPr>
        <w:pStyle w:val="Style_2"/>
        <w:spacing w:line="240" w:lineRule="auto"/>
        <w:ind/>
        <w:jc w:val="center"/>
        <w:rPr>
          <w:sz w:val="28"/>
        </w:rPr>
      </w:pPr>
      <w:r>
        <w:rPr>
          <w:sz w:val="28"/>
        </w:rPr>
        <w:t xml:space="preserve">Порядок рассмотрения заявок и оформления протокола рассмотрения </w:t>
      </w:r>
    </w:p>
    <w:p w14:paraId="9E000000">
      <w:pPr>
        <w:pStyle w:val="Style_2"/>
        <w:spacing w:line="240" w:lineRule="auto"/>
        <w:ind/>
        <w:jc w:val="center"/>
        <w:rPr>
          <w:sz w:val="28"/>
        </w:rPr>
      </w:pPr>
      <w:r>
        <w:rPr>
          <w:sz w:val="28"/>
        </w:rPr>
        <w:t>заявок на участие в аукционе</w:t>
      </w:r>
    </w:p>
    <w:p w14:paraId="9F000000">
      <w:pPr>
        <w:pStyle w:val="Style_2"/>
        <w:tabs>
          <w:tab w:leader="none" w:pos="708" w:val="clear"/>
          <w:tab w:leader="none" w:pos="1276" w:val="left"/>
        </w:tabs>
        <w:spacing w:line="240" w:lineRule="auto"/>
        <w:ind/>
        <w:jc w:val="both"/>
        <w:rPr>
          <w:color w:val="7030A0"/>
          <w:sz w:val="28"/>
        </w:rPr>
      </w:pPr>
    </w:p>
    <w:p w14:paraId="A0000000">
      <w:pPr>
        <w:pStyle w:val="Style_5"/>
        <w:numPr>
          <w:ilvl w:val="0"/>
          <w:numId w:val="1"/>
        </w:numPr>
        <w:tabs>
          <w:tab w:leader="none" w:pos="708" w:val="clear"/>
          <w:tab w:leader="none" w:pos="993" w:val="left"/>
          <w:tab w:leader="none" w:pos="1276" w:val="left"/>
        </w:tabs>
        <w:spacing w:line="240" w:lineRule="auto"/>
        <w:ind w:firstLine="709" w:left="0" w:right="0"/>
        <w:jc w:val="both"/>
        <w:rPr>
          <w:color w:val="7030A0"/>
          <w:sz w:val="28"/>
        </w:rPr>
      </w:pPr>
      <w:r>
        <w:rPr>
          <w:sz w:val="28"/>
        </w:rPr>
        <w:t xml:space="preserve">Рассмотрение заявок и прилагаемых к ним документов на соответствие требованиям </w:t>
      </w:r>
      <w:r>
        <w:rPr>
          <w:sz w:val="28"/>
        </w:rPr>
        <w:fldChar w:fldCharType="begin"/>
      </w:r>
      <w:r>
        <w:rPr>
          <w:sz w:val="28"/>
        </w:rPr>
        <w:instrText>HYPERLINK "consultantplus://offline/ref=B080A55EEAA5E55DF447DAC5FB40C0C812CD0394FE7385FA3C95CF62FB9F7F359ED3C1681DD744FEED98CC3F25YERFE"</w:instrText>
      </w:r>
      <w:r>
        <w:rPr>
          <w:sz w:val="28"/>
        </w:rPr>
        <w:fldChar w:fldCharType="separate"/>
      </w:r>
      <w:r>
        <w:rPr>
          <w:sz w:val="28"/>
        </w:rPr>
        <w:t>Закона</w:t>
      </w:r>
      <w:r>
        <w:rPr>
          <w:sz w:val="28"/>
        </w:rPr>
        <w:fldChar w:fldCharType="end"/>
      </w:r>
      <w:r>
        <w:rPr>
          <w:sz w:val="28"/>
        </w:rPr>
        <w:t xml:space="preserve"> «О недрах» и Порядка и условий проведения аукциона, осуществляется аукционной комиссией в течение срока, не превышающего 1 дня со дня окончания срока подачи заявок. По результатам рассмотрения заявок и прилагаемых к ним документов аукционная комиссия подписывает протокол рассмотрения заявок на участие в аукционе</w:t>
      </w:r>
      <w:r>
        <w:rPr>
          <w:color w:val="7030A0"/>
          <w:sz w:val="28"/>
        </w:rPr>
        <w:t>.</w:t>
      </w:r>
    </w:p>
    <w:p w14:paraId="A1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В день, следующий за днем окончания срока подачи заявок, установленным Порядком и условиями проведения аукциона, оператор электронной площадки обеспечивает посредством личного кабинета доступ организатора аукциона к поданным заявкам и прилагаемым к ним документам, к журналу приема заявок, в котором содержатся в том числе сведения о заявках, отозванных заявителями, а также к следующим документам и сведениям в отношении каждого заявителя, заявка которого на указанную дату не была отозвана:</w:t>
      </w:r>
    </w:p>
    <w:p w14:paraId="A2000000">
      <w:pPr>
        <w:pStyle w:val="Style_5"/>
        <w:widowControl w:val="0"/>
        <w:numPr>
          <w:ilvl w:val="0"/>
          <w:numId w:val="8"/>
        </w:numPr>
        <w:tabs>
          <w:tab w:leader="none" w:pos="708" w:val="clear"/>
          <w:tab w:leader="none" w:pos="1134" w:val="left"/>
        </w:tabs>
        <w:spacing w:after="0" w:before="220" w:line="240" w:lineRule="auto"/>
        <w:ind w:firstLine="709" w:left="0" w:right="0"/>
        <w:contextualSpacing w:val="1"/>
        <w:jc w:val="both"/>
        <w:rPr>
          <w:sz w:val="28"/>
        </w:rPr>
      </w:pPr>
      <w:r>
        <w:rPr>
          <w:sz w:val="28"/>
        </w:rPr>
        <w:t>копии учредительных документов заявителя;</w:t>
      </w:r>
    </w:p>
    <w:p w14:paraId="A3000000">
      <w:pPr>
        <w:pStyle w:val="Style_5"/>
        <w:widowControl w:val="0"/>
        <w:numPr>
          <w:ilvl w:val="0"/>
          <w:numId w:val="8"/>
        </w:numPr>
        <w:tabs>
          <w:tab w:leader="none" w:pos="708" w:val="clear"/>
          <w:tab w:leader="none" w:pos="1134" w:val="left"/>
        </w:tabs>
        <w:spacing w:after="0" w:before="220" w:line="240" w:lineRule="auto"/>
        <w:ind w:firstLine="709" w:left="0" w:right="0"/>
        <w:contextualSpacing w:val="1"/>
        <w:jc w:val="both"/>
        <w:rPr>
          <w:sz w:val="28"/>
        </w:rPr>
      </w:pPr>
      <w:r>
        <w:rPr>
          <w:sz w:val="28"/>
        </w:rPr>
        <w:t>сведения об уплате заявителем задатка и сбора за участие в аукционе, включая информацию о размере уплаченных средств и дате их поступления на расчетный счет оператора электронной площадки.</w:t>
      </w:r>
    </w:p>
    <w:p w14:paraId="A4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В случае если по окончании срока подачи заявок оператором электронной площадки зарегистрирована только одна заявка или заявки отсутствуют, такой аукцион признается несостоявшимся по основанию, предусмотренному частью 29 Порядка и условий проведения аукциона, при этом зарегистрированная заявка подлежит рассмотрению аукционной комиссией в установленном порядке.</w:t>
      </w:r>
    </w:p>
    <w:p w14:paraId="A5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 xml:space="preserve">Отказ в приеме заявки осуществляется по основаниям, предусмотренным </w:t>
      </w:r>
      <w:r>
        <w:rPr>
          <w:sz w:val="28"/>
        </w:rPr>
        <w:fldChar w:fldCharType="begin"/>
      </w:r>
      <w:r>
        <w:rPr>
          <w:sz w:val="28"/>
        </w:rPr>
        <w:instrText>HYPERLINK "consultantplus://offline/ref=B080A55EEAA5E55DF447DAC5FB40C0C812CD0394FE7385FA3C95CF62FB9F7F358CD399601AD251AABFC29B3226E8C23EA834D63C1AY8R9E"</w:instrText>
      </w:r>
      <w:r>
        <w:rPr>
          <w:sz w:val="28"/>
        </w:rPr>
        <w:fldChar w:fldCharType="separate"/>
      </w:r>
      <w:r>
        <w:rPr>
          <w:sz w:val="28"/>
        </w:rPr>
        <w:t>статьей 14</w:t>
      </w:r>
      <w:r>
        <w:rPr>
          <w:sz w:val="28"/>
        </w:rPr>
        <w:fldChar w:fldCharType="end"/>
      </w:r>
      <w:r>
        <w:rPr>
          <w:sz w:val="28"/>
        </w:rPr>
        <w:t xml:space="preserve"> Закона «О недрах».</w:t>
      </w:r>
    </w:p>
    <w:p w14:paraId="A6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bookmarkStart w:id="11" w:name="P236"/>
      <w:bookmarkEnd w:id="11"/>
      <w:r>
        <w:rPr>
          <w:sz w:val="28"/>
        </w:rPr>
        <w:t>В день подписания членами аукционной комиссии протокола рассмотрения заявок на участие в аукционе аукционная комиссия оформляет протокол рассмотрения заявок на участие в аукционе, подписываемый с использованием усиленной квалифицированной электронной подписи всеми присутствующими на заседании аукционной комиссии членами комиссии.</w:t>
      </w:r>
    </w:p>
    <w:p w14:paraId="A7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Заявитель, допущенный к участию в аукционе, становится участником аукциона со дня подписания членами аукционной комиссии протокола рассмотрения заявок на участие в аукционе.</w:t>
      </w:r>
    </w:p>
    <w:p w14:paraId="A8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 xml:space="preserve">В случае если аукцион признан несостоявшимся по основаниям, предусмотренным подпунктами 2 и 3 части 29 Порядка и условий проведения аукциона (наличие одной зарегистрированной заявки), протокол рассмотрения заявок на участие в аукционе оформляется в порядке, предусмотренном </w:t>
      </w:r>
      <w:r>
        <w:rPr>
          <w:sz w:val="28"/>
        </w:rPr>
        <w:fldChar w:fldCharType="begin"/>
      </w:r>
      <w:r>
        <w:rPr>
          <w:sz w:val="28"/>
        </w:rPr>
        <w:instrText>HYPERLINK \l "P245"</w:instrText>
      </w:r>
      <w:r>
        <w:rPr>
          <w:sz w:val="28"/>
        </w:rPr>
        <w:fldChar w:fldCharType="separate"/>
      </w:r>
      <w:r>
        <w:rPr>
          <w:sz w:val="28"/>
        </w:rPr>
        <w:t>пунктом 61</w:t>
      </w:r>
      <w:r>
        <w:rPr>
          <w:sz w:val="28"/>
        </w:rPr>
        <w:fldChar w:fldCharType="end"/>
      </w:r>
      <w:r>
        <w:rPr>
          <w:sz w:val="28"/>
        </w:rPr>
        <w:t xml:space="preserve"> или </w:t>
      </w:r>
      <w:r>
        <w:rPr>
          <w:sz w:val="28"/>
        </w:rPr>
        <w:fldChar w:fldCharType="begin"/>
      </w:r>
      <w:r>
        <w:rPr>
          <w:sz w:val="28"/>
        </w:rPr>
        <w:instrText>HYPERLINK \l "P255"</w:instrText>
      </w:r>
      <w:r>
        <w:rPr>
          <w:sz w:val="28"/>
        </w:rPr>
        <w:fldChar w:fldCharType="separate"/>
      </w:r>
      <w:r>
        <w:rPr>
          <w:sz w:val="28"/>
        </w:rPr>
        <w:t>62</w:t>
      </w:r>
      <w:r>
        <w:rPr>
          <w:sz w:val="28"/>
        </w:rPr>
        <w:fldChar w:fldCharType="end"/>
      </w:r>
      <w:r>
        <w:rPr>
          <w:sz w:val="28"/>
        </w:rPr>
        <w:t xml:space="preserve"> Правил проведения аукциона соответственно, при этом право пользования участком недр предоставляется единственному заявителю или единственному участнику аукциона с оформлением ему лицензии на пользование недрами на условиях аукциона с установлением размера разового платежа за пользование недрами не ниже установленного условиями аукциона, увеличенного на «шаг аукциона».</w:t>
      </w:r>
    </w:p>
    <w:p w14:paraId="A9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bookmarkStart w:id="12" w:name="P245"/>
      <w:bookmarkEnd w:id="12"/>
      <w:bookmarkStart w:id="13" w:name="P255"/>
      <w:bookmarkEnd w:id="13"/>
      <w:r>
        <w:rPr>
          <w:sz w:val="28"/>
        </w:rPr>
        <w:t>Протокол рассмотрения заявок на участие в аукционе размещается не позднее дня его подписания членами аукционной комиссии организатором аукциона на сайте электронной площадки. Не позднее одного часа с момента размещения протокола рассмотрения заявок на сайте электронной площадки указанный протокол размещается на официальном сайте.</w:t>
      </w:r>
    </w:p>
    <w:p w14:paraId="AA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В течение одного часа с момента размещения протокола рассмотрения заявок на участие в аукционе на сайте электронной площадки оператор электронной площадки направляет уведомления о размещении протокола рассмотрения заявок на участие в аукционе заявителям.</w:t>
      </w:r>
    </w:p>
    <w:p w14:paraId="AB000000">
      <w:pPr>
        <w:pStyle w:val="Style_2"/>
        <w:tabs>
          <w:tab w:leader="none" w:pos="708" w:val="clear"/>
          <w:tab w:leader="none" w:pos="1276" w:val="left"/>
        </w:tabs>
        <w:spacing w:line="240" w:lineRule="auto"/>
        <w:ind/>
        <w:jc w:val="both"/>
        <w:rPr>
          <w:color w:val="7030A0"/>
          <w:sz w:val="28"/>
        </w:rPr>
      </w:pPr>
    </w:p>
    <w:p w14:paraId="AC000000">
      <w:pPr>
        <w:pStyle w:val="Style_2"/>
        <w:spacing w:line="240" w:lineRule="auto"/>
        <w:ind/>
        <w:jc w:val="center"/>
        <w:rPr>
          <w:sz w:val="28"/>
        </w:rPr>
      </w:pPr>
      <w:r>
        <w:rPr>
          <w:sz w:val="28"/>
        </w:rPr>
        <w:t xml:space="preserve">Порядок проведения аукциона и оформления протокола </w:t>
      </w:r>
    </w:p>
    <w:p w14:paraId="AD000000">
      <w:pPr>
        <w:pStyle w:val="Style_2"/>
        <w:spacing w:line="240" w:lineRule="auto"/>
        <w:ind/>
        <w:jc w:val="center"/>
        <w:rPr>
          <w:sz w:val="28"/>
        </w:rPr>
      </w:pPr>
      <w:r>
        <w:rPr>
          <w:sz w:val="28"/>
        </w:rPr>
        <w:t>о результатах аукциона</w:t>
      </w:r>
    </w:p>
    <w:p w14:paraId="AE000000">
      <w:pPr>
        <w:pStyle w:val="Style_2"/>
        <w:tabs>
          <w:tab w:leader="none" w:pos="708" w:val="clear"/>
          <w:tab w:leader="none" w:pos="1276" w:val="left"/>
        </w:tabs>
        <w:spacing w:line="240" w:lineRule="auto"/>
        <w:ind/>
        <w:jc w:val="both"/>
        <w:rPr>
          <w:sz w:val="28"/>
        </w:rPr>
      </w:pPr>
    </w:p>
    <w:p w14:paraId="AF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К участию в аукционе допускаются заявители, признанные аукционной комиссией участниками аукциона.</w:t>
      </w:r>
    </w:p>
    <w:p w14:paraId="B0000000">
      <w:pPr>
        <w:pStyle w:val="Style_5"/>
        <w:numPr>
          <w:ilvl w:val="0"/>
          <w:numId w:val="1"/>
        </w:numPr>
        <w:tabs>
          <w:tab w:leader="none" w:pos="708" w:val="clear"/>
          <w:tab w:leader="none" w:pos="993" w:val="left"/>
          <w:tab w:leader="none" w:pos="1276" w:val="left"/>
        </w:tabs>
        <w:spacing w:line="240" w:lineRule="auto"/>
        <w:ind w:firstLine="709" w:left="0" w:right="0"/>
        <w:jc w:val="both"/>
        <w:rPr>
          <w:color w:val="7030A0"/>
          <w:sz w:val="28"/>
        </w:rPr>
      </w:pPr>
      <w:r>
        <w:rPr>
          <w:sz w:val="28"/>
        </w:rPr>
        <w:t>Аукцион проводится не позднее следующего дня со дня подписания членами аукционной комиссии протокола рассмотрения заявок на участие в аукционе</w:t>
      </w:r>
      <w:r>
        <w:rPr>
          <w:color w:val="7030A0"/>
          <w:sz w:val="28"/>
        </w:rPr>
        <w:t>.</w:t>
      </w:r>
    </w:p>
    <w:p w14:paraId="B1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Аукцион проводится в день и время, установленные Порядком и условиями проведения аукциона, путем последовательного повышения участниками аукциона минимального (стартового) размера разового платежа за пользование недрами на величину «шага аукциона», установленную Порядком и условиями проведения аукциона.</w:t>
      </w:r>
    </w:p>
    <w:p w14:paraId="B2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размере разового платежа за пользование недрами.</w:t>
      </w:r>
    </w:p>
    <w:p w14:paraId="B3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С момента начала проведения аукциона оператором электронной площадки размещаются:</w:t>
      </w:r>
    </w:p>
    <w:p w14:paraId="B4000000">
      <w:pPr>
        <w:pStyle w:val="Style_2"/>
        <w:tabs>
          <w:tab w:leader="none" w:pos="708" w:val="clear"/>
          <w:tab w:leader="none" w:pos="993" w:val="left"/>
          <w:tab w:leader="none" w:pos="1276" w:val="left"/>
        </w:tabs>
        <w:spacing w:line="240" w:lineRule="auto"/>
        <w:ind w:firstLine="709" w:left="0" w:right="0"/>
        <w:jc w:val="both"/>
        <w:rPr>
          <w:sz w:val="28"/>
        </w:rPr>
      </w:pPr>
      <w:r>
        <w:rPr>
          <w:sz w:val="28"/>
        </w:rPr>
        <w:t>1) в открытой для доступа неограниченного круга лиц части электронной площадки – информация о начале проведения аукциона с указанием наименования (при наличии) участка недр, являющегося объектом аукциона, минимального (стартового) размера разового платежа за пользование недрами и «шага аукциона»;</w:t>
      </w:r>
    </w:p>
    <w:p w14:paraId="B5000000">
      <w:pPr>
        <w:pStyle w:val="Style_2"/>
        <w:tabs>
          <w:tab w:leader="none" w:pos="708" w:val="clear"/>
          <w:tab w:leader="none" w:pos="993" w:val="left"/>
          <w:tab w:leader="none" w:pos="1276" w:val="left"/>
        </w:tabs>
        <w:spacing w:line="240" w:lineRule="auto"/>
        <w:ind w:firstLine="709" w:left="0" w:right="0"/>
        <w:jc w:val="both"/>
        <w:rPr>
          <w:sz w:val="28"/>
        </w:rPr>
      </w:pPr>
      <w:r>
        <w:rPr>
          <w:sz w:val="28"/>
        </w:rPr>
        <w:t>2) в закрытой части электронной площадки – информация, указанная в открытой для доступа неограниченного круга лиц части электронной площадки, предложения участников аукциона о размере разового платежа за пользование недрами и время их поступления, а также время, оставшееся до окончания приема предложений о размере разового платежа за пользование недрами.</w:t>
      </w:r>
    </w:p>
    <w:p w14:paraId="B6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При проведении аукциона устанавливается время приема предложений участников аукциона о размере разового платежа за пользование недрами, увеличенном на «шаг аукциона», составляющее 60 минут от начала проведения такого аукциона до истечения срока подачи предложений о размере разового платежа за пользование недрами, а также 20 минут после поступления последнего предложения о его размере.</w:t>
      </w:r>
    </w:p>
    <w:p w14:paraId="B7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Время, оставшееся до истечения срока подачи предложений о размере разового платежа за пользование недрами, обновляется автоматически с помощью программно-аппаратных средств оператора электронной площадки после поступления последнего предложения о размере разового платежа за пользование недрами. Если в течение указанного времени не поступило ни одного предложения о размере разового платежа за пользование недрами, увеличивающего его текущее значение на «шаг аукциона», такой аукцион автоматически с помощью программно-аппаратных средств оператора электронной площадки завершается.</w:t>
      </w:r>
    </w:p>
    <w:p w14:paraId="B8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После прохождения 100-го, 300-го и 500-го «шагов аукциона» величина «шага аукциона» устанавливается в размере 10 процентов достигнутого размера разового платежа за пользование недрами соответственно на 100-м, 300-м и 500-м «шаге аукциона».</w:t>
      </w:r>
    </w:p>
    <w:p w14:paraId="B9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В случае если в течение 60 минут от начала проведения аукциона участники аукциона не подали ни одного предложения о размере разового платежа за пользование недрами, увеличенного на «шаг аукциона», такой аукцион признается несостоявшимся в соответствии с подпунктом «д» пункта 78 Правил проведения аукциона.</w:t>
      </w:r>
    </w:p>
    <w:p w14:paraId="BA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При проведении аукциона программно-аппаратными средствами оператора электронной площадки обеспечиваются:</w:t>
      </w:r>
    </w:p>
    <w:p w14:paraId="BB000000">
      <w:pPr>
        <w:pStyle w:val="Style_2"/>
        <w:tabs>
          <w:tab w:leader="none" w:pos="708" w:val="clear"/>
          <w:tab w:leader="none" w:pos="993" w:val="left"/>
          <w:tab w:leader="none" w:pos="1276" w:val="left"/>
        </w:tabs>
        <w:spacing w:line="240" w:lineRule="auto"/>
        <w:ind w:firstLine="709" w:left="0" w:right="0"/>
        <w:jc w:val="both"/>
        <w:rPr>
          <w:sz w:val="28"/>
        </w:rPr>
      </w:pPr>
      <w:r>
        <w:rPr>
          <w:sz w:val="28"/>
        </w:rPr>
        <w:t>1) исключение возможности подачи участником аукциона предложения о размере разового платежа за пользование недрами, не соответствующего увеличению его текущего размера на величину «шага аукциона»;</w:t>
      </w:r>
    </w:p>
    <w:p w14:paraId="BC000000">
      <w:pPr>
        <w:pStyle w:val="Style_2"/>
        <w:tabs>
          <w:tab w:leader="none" w:pos="708" w:val="clear"/>
          <w:tab w:leader="none" w:pos="993" w:val="left"/>
          <w:tab w:leader="none" w:pos="1276" w:val="left"/>
        </w:tabs>
        <w:spacing w:line="240" w:lineRule="auto"/>
        <w:ind w:firstLine="709" w:left="0" w:right="0"/>
        <w:jc w:val="both"/>
        <w:rPr>
          <w:sz w:val="28"/>
        </w:rPr>
      </w:pPr>
      <w:r>
        <w:rPr>
          <w:sz w:val="28"/>
        </w:rPr>
        <w:t>2) уведомление участника аукциона в случае, если предложение этого участника о размере разового платежа за пользование недрами не может быть принято в связи с подачей аналогичного предложения ранее другим участником аукциона.</w:t>
      </w:r>
    </w:p>
    <w:p w14:paraId="BD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bookmarkStart w:id="14" w:name="P278"/>
      <w:bookmarkEnd w:id="14"/>
      <w:r>
        <w:rPr>
          <w:sz w:val="28"/>
        </w:rPr>
        <w:t>Ход проведения аукциона фиксируется оператором электронной площадки в электронном журнале, который размещается в личном кабинете организатора аукциона в течение одного часа с момента завершения аукциона.</w:t>
      </w:r>
    </w:p>
    <w:p w14:paraId="BE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Оператор электронной площадки приостанавливает проведение аукциона в случае технологического сбоя, зафиксированного программно-аппаратными средствами оператора электронной площадки, но не более чем на одни сутки. Возобновление проведения аукциона начинается с того момента, на котором аукцион был прерван.</w:t>
      </w:r>
    </w:p>
    <w:p w14:paraId="BF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В течение одного часа с момента приостановления проведения аукциона оператор электронной площадки размещает на сайте электронной площадки информацию о причине приостановления аукциона, времени приостановления и возобновления проведения аукциона и направляет уведомления организатору аукциона и участникам аукциона.</w:t>
      </w:r>
    </w:p>
    <w:p w14:paraId="C0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Победителем аукциона признается участник аукциона, предложивший наибольший размер разового платежа за пользование недрами.</w:t>
      </w:r>
    </w:p>
    <w:p w14:paraId="C1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 xml:space="preserve">В соответствии с </w:t>
      </w:r>
      <w:r>
        <w:rPr>
          <w:sz w:val="28"/>
        </w:rPr>
        <w:fldChar w:fldCharType="begin"/>
      </w:r>
      <w:r>
        <w:rPr>
          <w:sz w:val="28"/>
        </w:rPr>
        <w:instrText>HYPERLINK "consultantplus://offline/ref=B080A55EEAA5E55DF447DAC5FB40C0C812CD0394FE7385FA3C95CF62FB9F7F358CD3996019D551AABFC29B3226E8C23EA834D63C1AY8R9E"</w:instrText>
      </w:r>
      <w:r>
        <w:rPr>
          <w:sz w:val="28"/>
        </w:rPr>
        <w:fldChar w:fldCharType="separate"/>
      </w:r>
      <w:r>
        <w:rPr>
          <w:sz w:val="28"/>
        </w:rPr>
        <w:t>частью тринадцатой статьи 13.1</w:t>
      </w:r>
      <w:r>
        <w:rPr>
          <w:sz w:val="28"/>
        </w:rPr>
        <w:fldChar w:fldCharType="end"/>
      </w:r>
      <w:r>
        <w:rPr>
          <w:sz w:val="28"/>
        </w:rPr>
        <w:t xml:space="preserve"> Закона «О недрах» в случае неуплаты победителем аукциона, признанным таковым аукционной комиссией, окончательного размера разового платежа за пользование недрами, установленного по результатам аукциона, победителем аукциона признается участник аукциона, предложение которого о размере разового платежа за пользование недрами предшествовало предложению первоначального победителя аукциона и которому предоставляется право пользования участком недр при условии уплаты разового платежа в размере, предложенном таким участником, но не менее размера разового платежа за пользование участком недр, установленного порядком и условиями проведения аукциона, увеличенного на «шаг аукциона».</w:t>
      </w:r>
    </w:p>
    <w:p w14:paraId="C2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 xml:space="preserve">Итоги аукциона подводятся аукционной комиссией не позднее рабочего дня, следующего за днем размещения оператором электронной площадки электронного журнала, указанного в </w:t>
      </w:r>
      <w:r>
        <w:rPr>
          <w:sz w:val="28"/>
        </w:rPr>
        <w:fldChar w:fldCharType="begin"/>
      </w:r>
      <w:r>
        <w:rPr>
          <w:sz w:val="28"/>
        </w:rPr>
        <w:instrText>HYPERLINK \l "P278"</w:instrText>
      </w:r>
      <w:r>
        <w:rPr>
          <w:sz w:val="28"/>
        </w:rPr>
        <w:fldChar w:fldCharType="separate"/>
      </w:r>
      <w:r>
        <w:rPr>
          <w:sz w:val="28"/>
        </w:rPr>
        <w:t>части 73</w:t>
      </w:r>
      <w:r>
        <w:rPr>
          <w:sz w:val="28"/>
        </w:rPr>
        <w:fldChar w:fldCharType="end"/>
      </w:r>
      <w:r>
        <w:rPr>
          <w:sz w:val="28"/>
        </w:rPr>
        <w:t xml:space="preserve"> настоящего Порядка и условий проведения аукциона, в личном кабинете организатора аукциона, и оформляются протоколом о результатах аукциона.</w:t>
      </w:r>
    </w:p>
    <w:p w14:paraId="C3000000">
      <w:pPr>
        <w:pStyle w:val="Style_5"/>
        <w:spacing w:after="120" w:before="120" w:line="240" w:lineRule="auto"/>
        <w:ind w:firstLine="0" w:left="1429" w:right="0"/>
        <w:contextualSpacing w:val="1"/>
        <w:rPr>
          <w:sz w:val="28"/>
        </w:rPr>
      </w:pPr>
    </w:p>
    <w:p w14:paraId="C4000000">
      <w:pPr>
        <w:pStyle w:val="Style_5"/>
        <w:spacing w:after="120" w:before="120" w:line="240" w:lineRule="auto"/>
        <w:ind w:firstLine="0" w:left="0" w:right="0"/>
        <w:contextualSpacing w:val="1"/>
        <w:jc w:val="center"/>
        <w:rPr>
          <w:color w:val="000000"/>
        </w:rPr>
      </w:pPr>
      <w:r>
        <w:rPr>
          <w:color w:val="000000"/>
          <w:sz w:val="28"/>
        </w:rPr>
        <w:t>Краткая характеристика участка недр местного значения «Прикарьерный»</w:t>
      </w:r>
    </w:p>
    <w:p w14:paraId="C5000000">
      <w:pPr>
        <w:pStyle w:val="Style_5"/>
        <w:spacing w:after="120" w:before="120" w:line="240" w:lineRule="auto"/>
        <w:ind w:firstLine="0" w:left="1429" w:right="0"/>
        <w:contextualSpacing w:val="1"/>
        <w:rPr>
          <w:color w:val="7030A0"/>
          <w:sz w:val="28"/>
        </w:rPr>
      </w:pPr>
    </w:p>
    <w:p w14:paraId="C6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 xml:space="preserve">В административном отношении участок недр местного значения находится на территории Мильковского муниципального района Камчатского края, расположен </w:t>
      </w:r>
      <w:r>
        <w:rPr>
          <w:sz w:val="28"/>
        </w:rPr>
        <w:t xml:space="preserve">на правобережье р. Камчатка, в 12,5 км (по прямой ) к северо-востоку от с. Шаромы, в 100 м от автомобильной дороги Петропавловск-Камчатский </w:t>
      </w:r>
      <w:r>
        <w:rPr>
          <w:sz w:val="28"/>
        </w:rPr>
        <w:t>−</w:t>
      </w:r>
      <w:r>
        <w:rPr>
          <w:sz w:val="28"/>
        </w:rPr>
        <w:t xml:space="preserve"> Мильково, на территории номенклатурного листа </w:t>
      </w:r>
      <w:r>
        <w:rPr>
          <w:sz w:val="28"/>
        </w:rPr>
        <w:t>N</w:t>
      </w:r>
      <w:r>
        <w:rPr>
          <w:sz w:val="28"/>
        </w:rPr>
        <w:t>- 57-</w:t>
      </w:r>
      <w:r>
        <w:rPr>
          <w:sz w:val="28"/>
        </w:rPr>
        <w:t>XV</w:t>
      </w:r>
      <w:r>
        <w:rPr>
          <w:sz w:val="28"/>
        </w:rPr>
        <w:t xml:space="preserve"> государственной геологической карты Российской Федерации масштаба 1:200 000.</w:t>
      </w:r>
    </w:p>
    <w:p w14:paraId="C7000000">
      <w:pPr>
        <w:pStyle w:val="Style_5"/>
        <w:numPr>
          <w:ilvl w:val="0"/>
          <w:numId w:val="1"/>
        </w:numPr>
        <w:tabs>
          <w:tab w:leader="none" w:pos="708" w:val="clear"/>
          <w:tab w:leader="none" w:pos="993" w:val="left"/>
          <w:tab w:leader="none" w:pos="1276" w:val="left"/>
        </w:tabs>
        <w:spacing w:line="240" w:lineRule="auto"/>
        <w:ind w:firstLine="709" w:left="0" w:right="0"/>
        <w:jc w:val="both"/>
        <w:rPr>
          <w:sz w:val="28"/>
        </w:rPr>
      </w:pPr>
      <w:r>
        <w:rPr>
          <w:sz w:val="28"/>
        </w:rPr>
        <w:t xml:space="preserve">В соответствии со схемой геоморфологического районирования участок расположен в южной части Центрально-Камчатской рифтогенной депрессии, представленной полого наклонной поверхностью аллювиально-пролювиальных конусов выноса и шлейфов, в пределах низкой надпойменной террасы р. Камчатка. В геологическом строении района работ принимают участие верхнемеловые и кайнозойские образования, слагающие Срединный и Валагинский хребты, обрамляющие долину р. Камчатки. </w:t>
      </w:r>
      <w:r>
        <w:rPr>
          <w:sz w:val="28"/>
        </w:rPr>
        <w:t>Долина р. Камчатка сложена преимущественно рыхлыми четвертичными отложениями различного генезиса. Участок недр «Прикарьерный» расположен рядом с месторождением песчано-гравийной смеси «ПК-275 км». Буровыми работами в пределах участка недр «ПК-275 км» вскрыты аллювиальные и озерно-аллювиальные отложения (</w:t>
      </w:r>
      <w:r>
        <w:rPr>
          <w:sz w:val="28"/>
        </w:rPr>
        <w:t>Q</w:t>
      </w:r>
      <w:r>
        <w:rPr>
          <w:sz w:val="28"/>
          <w:vertAlign w:val="subscript"/>
        </w:rPr>
        <w:t>III</w:t>
      </w:r>
      <w:r>
        <w:rPr>
          <w:sz w:val="28"/>
          <w:vertAlign w:val="superscript"/>
        </w:rPr>
        <w:t>3</w:t>
      </w:r>
      <w:r>
        <w:rPr>
          <w:sz w:val="28"/>
        </w:rPr>
        <w:t xml:space="preserve">), представленные почвенно-растительным слоем темно-бурого цвета (до глубины 0,10-0,30 м), супесями желтого цвета (до глубины 0,30-0,55 м), суглинками темно-бурыми (до глубины 0,90-1,10 м) и песчано-гравийными отложениями с редкими маломощными прослоями тонкозернистого полимиктового песка с небольшим содержанием гравия. Гравий мелкий (от 5 до 40 мм) представлен андезитами, кремнистыми породами, базальтами и составляет 55 % от общего объема отложений. Песок темно-серый разнозернистый, полимиктовый с преобладанием средней и мелкой фракции. Отложения по разрезу не обводнены, подземные воды на глубину изучения не вскрыты. Средняя мощность полезной толщи 9,06 м, средняя мощность вскрышных пород – </w:t>
      </w:r>
      <w:r>
        <w:rPr>
          <w:sz w:val="28"/>
        </w:rPr>
        <w:t xml:space="preserve">0,94 м. Полезная залежь в пределах участка «ПК-275 км» оценивается как ПГС (гравийная составляющая -54,93%, песчаная составляющая (с учетом пылевидных частиц менее 0,16 мм) – </w:t>
      </w:r>
      <w:r>
        <w:rPr>
          <w:sz w:val="28"/>
        </w:rPr>
        <w:t xml:space="preserve">45,07%). </w:t>
      </w:r>
    </w:p>
    <w:p w14:paraId="C8000000">
      <w:pPr>
        <w:pStyle w:val="Style_2"/>
        <w:numPr>
          <w:ilvl w:val="0"/>
          <w:numId w:val="0"/>
        </w:numPr>
        <w:spacing w:after="0" w:before="0" w:line="240" w:lineRule="auto"/>
        <w:ind w:firstLine="0" w:left="0" w:right="0"/>
        <w:jc w:val="center"/>
        <w:rPr>
          <w:sz w:val="28"/>
        </w:rPr>
      </w:pPr>
      <w:r>
        <w:rPr>
          <w:i w:val="0"/>
          <w:sz w:val="28"/>
        </w:rPr>
        <w:t>Характеристика природной ПГС:</w:t>
      </w:r>
    </w:p>
    <w:p w14:paraId="C9000000">
      <w:pPr>
        <w:pStyle w:val="Style_2"/>
        <w:numPr>
          <w:ilvl w:val="0"/>
          <w:numId w:val="9"/>
        </w:numPr>
        <w:spacing w:after="0" w:before="0" w:line="240" w:lineRule="auto"/>
        <w:ind w:firstLine="709" w:left="0" w:right="0"/>
        <w:jc w:val="both"/>
        <w:rPr>
          <w:rFonts w:ascii="Times New Roman" w:hAnsi="Times New Roman"/>
        </w:rPr>
      </w:pPr>
      <w:r>
        <w:rPr>
          <w:sz w:val="28"/>
        </w:rPr>
        <w:t xml:space="preserve">по непрерывной гранулометрии ПГС имеет следующий состав (частные и полные остатки): фракция &gt; 70 мм – </w:t>
      </w:r>
      <w:r>
        <w:rPr>
          <w:sz w:val="28"/>
        </w:rPr>
        <w:t xml:space="preserve">0% (0%), 70-50 мм – </w:t>
      </w:r>
      <w:r>
        <w:rPr>
          <w:sz w:val="28"/>
        </w:rPr>
        <w:t xml:space="preserve">0%, (0%),  70-40 мм – 7,91% (7,91%), 40-20 мм – </w:t>
      </w:r>
      <w:r>
        <w:rPr>
          <w:sz w:val="28"/>
        </w:rPr>
        <w:t xml:space="preserve">26,37% (34,28%), 20-10 мм – </w:t>
      </w:r>
      <w:r>
        <w:rPr>
          <w:sz w:val="28"/>
        </w:rPr>
        <w:t xml:space="preserve">8,17% (42,45%), 10-5 мм – </w:t>
      </w:r>
      <w:r>
        <w:rPr>
          <w:sz w:val="28"/>
        </w:rPr>
        <w:t xml:space="preserve">12,48% (54,93%),  5,0-2,5 мм – </w:t>
      </w:r>
      <w:r>
        <w:rPr>
          <w:sz w:val="28"/>
        </w:rPr>
        <w:t xml:space="preserve">9,35% (64,27%), 2,5-1,25 мм – </w:t>
      </w:r>
      <w:r>
        <w:rPr>
          <w:sz w:val="28"/>
        </w:rPr>
        <w:t xml:space="preserve">7,27 % (71,54%), 1,25-0,63 мм – </w:t>
      </w:r>
      <w:r>
        <w:rPr>
          <w:sz w:val="28"/>
        </w:rPr>
        <w:t xml:space="preserve">10,45% (82%,), 0,63-0,315 мм – </w:t>
      </w:r>
      <w:r>
        <w:rPr>
          <w:sz w:val="28"/>
        </w:rPr>
        <w:t xml:space="preserve">8,37 % (90,36%), 0,315-0,16 мм – 3,48% (93,85%) фракция &lt; 0,16 мм – </w:t>
      </w:r>
      <w:r>
        <w:rPr>
          <w:sz w:val="28"/>
        </w:rPr>
        <w:t>6,15% (100,0%);</w:t>
      </w:r>
    </w:p>
    <w:p w14:paraId="CA000000">
      <w:pPr>
        <w:pStyle w:val="Style_2"/>
        <w:numPr>
          <w:ilvl w:val="0"/>
          <w:numId w:val="9"/>
        </w:numPr>
        <w:spacing w:after="0" w:before="0" w:line="240" w:lineRule="auto"/>
        <w:ind w:firstLine="709" w:left="0" w:right="0"/>
        <w:jc w:val="both"/>
        <w:rPr>
          <w:rFonts w:ascii="Times New Roman" w:hAnsi="Times New Roman"/>
        </w:rPr>
      </w:pPr>
      <w:r>
        <w:rPr>
          <w:sz w:val="28"/>
        </w:rPr>
        <w:t xml:space="preserve">валуны ( &gt;(70-мм) – 0%, гравий (70-5 мм) – 54,93%, песок (5-0,16 мм ) – </w:t>
      </w:r>
      <w:r>
        <w:rPr>
          <w:sz w:val="28"/>
        </w:rPr>
        <w:t xml:space="preserve">38,92% частицы &lt; 0,16 мм (пыль) – </w:t>
      </w:r>
      <w:r>
        <w:rPr>
          <w:sz w:val="28"/>
        </w:rPr>
        <w:t>6,15%;</w:t>
      </w:r>
    </w:p>
    <w:p w14:paraId="CB000000">
      <w:pPr>
        <w:pStyle w:val="Style_2"/>
        <w:numPr>
          <w:ilvl w:val="0"/>
          <w:numId w:val="9"/>
        </w:numPr>
        <w:spacing w:after="0" w:before="0" w:line="240" w:lineRule="auto"/>
        <w:ind w:firstLine="709" w:left="0" w:right="0"/>
        <w:jc w:val="both"/>
        <w:rPr>
          <w:sz w:val="28"/>
        </w:rPr>
      </w:pPr>
      <w:r>
        <w:rPr>
          <w:sz w:val="28"/>
        </w:rPr>
        <w:t xml:space="preserve">объемно-насыпная масса – </w:t>
      </w:r>
      <w:r>
        <w:rPr>
          <w:sz w:val="28"/>
        </w:rPr>
        <w:t>1860 кг/ см</w:t>
      </w:r>
      <w:r>
        <w:rPr>
          <w:sz w:val="28"/>
          <w:vertAlign w:val="superscript"/>
        </w:rPr>
        <w:t>3</w:t>
      </w:r>
      <w:r>
        <w:rPr>
          <w:sz w:val="28"/>
        </w:rPr>
        <w:t>;</w:t>
      </w:r>
      <w:r>
        <w:rPr>
          <w:sz w:val="28"/>
          <w:vertAlign w:val="superscript"/>
        </w:rPr>
        <w:t xml:space="preserve"> </w:t>
      </w:r>
      <w:r>
        <w:rPr>
          <w:sz w:val="28"/>
        </w:rPr>
        <w:t xml:space="preserve">объемная масса в целике – </w:t>
      </w:r>
      <w:r>
        <w:rPr>
          <w:sz w:val="28"/>
        </w:rPr>
        <w:t>2348 кг/ см</w:t>
      </w:r>
      <w:r>
        <w:rPr>
          <w:sz w:val="28"/>
          <w:vertAlign w:val="superscript"/>
        </w:rPr>
        <w:t>3</w:t>
      </w:r>
      <w:r>
        <w:rPr>
          <w:sz w:val="28"/>
        </w:rPr>
        <w:t>;</w:t>
      </w:r>
      <w:r>
        <w:rPr>
          <w:sz w:val="28"/>
          <w:vertAlign w:val="superscript"/>
        </w:rPr>
        <w:t xml:space="preserve"> </w:t>
      </w:r>
      <w:r>
        <w:rPr>
          <w:sz w:val="28"/>
        </w:rPr>
        <w:t xml:space="preserve">содержание пылевидных и глинистых частиц – </w:t>
      </w:r>
      <w:r>
        <w:rPr>
          <w:sz w:val="28"/>
        </w:rPr>
        <w:t xml:space="preserve">от 1,45 до 1,51%, среднее содержание – </w:t>
      </w:r>
      <w:r>
        <w:rPr>
          <w:sz w:val="28"/>
        </w:rPr>
        <w:t>1,49%;</w:t>
      </w:r>
      <w:r>
        <w:rPr>
          <w:sz w:val="28"/>
          <w:vertAlign w:val="superscript"/>
        </w:rPr>
        <w:t xml:space="preserve"> </w:t>
      </w:r>
      <w:r>
        <w:rPr>
          <w:sz w:val="28"/>
        </w:rPr>
        <w:t xml:space="preserve"> коэффициент разрыхления – </w:t>
      </w:r>
      <w:r>
        <w:rPr>
          <w:sz w:val="28"/>
        </w:rPr>
        <w:t>1,3.</w:t>
      </w:r>
    </w:p>
    <w:p w14:paraId="CC000000">
      <w:pPr>
        <w:pStyle w:val="Style_2"/>
        <w:spacing w:after="0" w:before="0" w:line="240" w:lineRule="auto"/>
        <w:ind w:firstLine="0" w:left="0" w:right="0"/>
        <w:jc w:val="center"/>
        <w:rPr>
          <w:rFonts w:ascii="Times New Roman" w:hAnsi="Times New Roman"/>
        </w:rPr>
      </w:pPr>
      <w:r>
        <w:rPr>
          <w:i w:val="0"/>
          <w:sz w:val="28"/>
        </w:rPr>
        <w:t>Характеристика гравийной составляющей ПГС:</w:t>
      </w:r>
    </w:p>
    <w:p w14:paraId="CD000000">
      <w:pPr>
        <w:pStyle w:val="Style_2"/>
        <w:numPr>
          <w:numId w:val="10"/>
        </w:numPr>
        <w:spacing w:after="0" w:before="0" w:line="240" w:lineRule="auto"/>
        <w:ind w:firstLine="709" w:left="0" w:right="0"/>
        <w:jc w:val="both"/>
        <w:rPr>
          <w:rFonts w:ascii="Times New Roman" w:hAnsi="Times New Roman"/>
        </w:rPr>
      </w:pPr>
      <w:r>
        <w:rPr>
          <w:sz w:val="28"/>
        </w:rPr>
        <w:t xml:space="preserve">средние значения частных (полных) остатков при определении гранулометрического состава гравийной составляющей ПГС: &gt; 70 мм – </w:t>
      </w:r>
      <w:r>
        <w:rPr>
          <w:sz w:val="28"/>
        </w:rPr>
        <w:t xml:space="preserve">0% (0%), 70-50 мм – </w:t>
      </w:r>
      <w:r>
        <w:rPr>
          <w:sz w:val="28"/>
        </w:rPr>
        <w:t xml:space="preserve">0%, (0%),  50 -40 мм – 14,37% (14,37%), 40-20 мм </w:t>
      </w:r>
      <w:r>
        <w:rPr>
          <w:sz w:val="28"/>
        </w:rPr>
        <w:t xml:space="preserve">– </w:t>
      </w:r>
      <w:r>
        <w:rPr>
          <w:sz w:val="28"/>
        </w:rPr>
        <w:t xml:space="preserve">47,98% (62,35%), 20-10 мм </w:t>
      </w:r>
      <w:r>
        <w:rPr>
          <w:sz w:val="28"/>
        </w:rPr>
        <w:t xml:space="preserve">– </w:t>
      </w:r>
      <w:r>
        <w:rPr>
          <w:sz w:val="28"/>
        </w:rPr>
        <w:t xml:space="preserve">14,94% (77,29%), 10-5 мм </w:t>
      </w:r>
      <w:r>
        <w:rPr>
          <w:sz w:val="28"/>
        </w:rPr>
        <w:t xml:space="preserve">– </w:t>
      </w:r>
      <w:r>
        <w:rPr>
          <w:sz w:val="28"/>
        </w:rPr>
        <w:t>22,71% (100%);</w:t>
      </w:r>
    </w:p>
    <w:p w14:paraId="CE000000">
      <w:pPr>
        <w:pStyle w:val="Style_2"/>
        <w:numPr>
          <w:numId w:val="10"/>
        </w:numPr>
        <w:spacing w:after="0" w:before="0" w:line="240" w:lineRule="auto"/>
        <w:ind w:firstLine="709" w:left="0" w:right="0"/>
        <w:jc w:val="both"/>
        <w:rPr>
          <w:sz w:val="28"/>
        </w:rPr>
      </w:pPr>
      <w:r>
        <w:rPr>
          <w:sz w:val="28"/>
        </w:rPr>
        <w:t>истинная плотность зерен (гравия) – 2,63 г/м</w:t>
      </w:r>
      <w:r>
        <w:rPr>
          <w:sz w:val="28"/>
          <w:vertAlign w:val="superscript"/>
        </w:rPr>
        <w:t>3</w:t>
      </w:r>
      <w:r>
        <w:rPr>
          <w:sz w:val="28"/>
        </w:rPr>
        <w:t xml:space="preserve">; содержанию зерен слабых пород от 7,57 до 7,65%, среднее значение </w:t>
      </w:r>
      <w:r>
        <w:rPr>
          <w:sz w:val="28"/>
        </w:rPr>
        <w:t xml:space="preserve">– </w:t>
      </w:r>
      <w:r>
        <w:rPr>
          <w:sz w:val="28"/>
        </w:rPr>
        <w:t xml:space="preserve">7,59%; пустотность – 34%; значения водопоглощения от 1,9 до 1,93%, средне – </w:t>
      </w:r>
      <w:r>
        <w:rPr>
          <w:sz w:val="28"/>
        </w:rPr>
        <w:t xml:space="preserve">1,92%; содержание зерен пластинчатой (лещадной) и игловатой формы </w:t>
      </w:r>
      <w:r>
        <w:rPr>
          <w:sz w:val="28"/>
        </w:rPr>
        <w:t xml:space="preserve">от 2,3 до 2,4%, среднее – </w:t>
      </w:r>
      <w:r>
        <w:rPr>
          <w:sz w:val="28"/>
        </w:rPr>
        <w:t xml:space="preserve">2,34%; содержание зерен слабых пород </w:t>
      </w:r>
      <w:r>
        <w:rPr>
          <w:sz w:val="28"/>
        </w:rPr>
        <w:t xml:space="preserve">от 7,57 до 7,65%, среднее – </w:t>
      </w:r>
      <w:r>
        <w:rPr>
          <w:sz w:val="28"/>
        </w:rPr>
        <w:t xml:space="preserve">7,59% ; содержание пылевидных и глинистых частиц от 0,47 до 0,48 при среднем значении 0,48%; содержание глины в комках – отсутствует; марка по дробимости – 1000; марка по истираемости – </w:t>
      </w:r>
      <w:r>
        <w:rPr>
          <w:sz w:val="28"/>
        </w:rPr>
        <w:t xml:space="preserve">И1; марка по морозостойкости – </w:t>
      </w:r>
      <w:r>
        <w:rPr>
          <w:sz w:val="28"/>
        </w:rPr>
        <w:t>F</w:t>
      </w:r>
      <w:r>
        <w:rPr>
          <w:sz w:val="28"/>
        </w:rPr>
        <w:t xml:space="preserve"> 50; выход гравия из ПГС – среднее 54,93%;  содержание SiO</w:t>
      </w:r>
      <w:r>
        <w:rPr>
          <w:sz w:val="28"/>
          <w:vertAlign w:val="subscript"/>
        </w:rPr>
        <w:t>2</w:t>
      </w:r>
      <w:r>
        <w:rPr>
          <w:sz w:val="28"/>
        </w:rPr>
        <w:t xml:space="preserve"> (акт.) от 25,17 до 29,83 ммоль/дм</w:t>
      </w:r>
      <w:r>
        <w:rPr>
          <w:sz w:val="28"/>
          <w:vertAlign w:val="superscript"/>
        </w:rPr>
        <w:t>3</w:t>
      </w:r>
      <w:r>
        <w:rPr>
          <w:sz w:val="28"/>
        </w:rPr>
        <w:t xml:space="preserve">, среднее – </w:t>
      </w:r>
      <w:r>
        <w:rPr>
          <w:sz w:val="28"/>
        </w:rPr>
        <w:t>27,28 ммоль/дм</w:t>
      </w:r>
      <w:r>
        <w:rPr>
          <w:sz w:val="28"/>
          <w:vertAlign w:val="superscript"/>
        </w:rPr>
        <w:t>3</w:t>
      </w:r>
      <w:r>
        <w:rPr>
          <w:sz w:val="28"/>
        </w:rPr>
        <w:t>, содержание S</w:t>
      </w:r>
      <w:r>
        <w:rPr>
          <w:sz w:val="28"/>
        </w:rPr>
        <w:t>O</w:t>
      </w:r>
      <w:r>
        <w:rPr>
          <w:sz w:val="28"/>
          <w:vertAlign w:val="superscript"/>
        </w:rPr>
        <w:t xml:space="preserve">3 </w:t>
      </w:r>
      <w:r>
        <w:rPr>
          <w:sz w:val="28"/>
        </w:rPr>
        <w:t xml:space="preserve">не превышает 0,1%, содержание легкорастворимых хлоридов менее 0,02%, удельная эффективная активность 84,2 </w:t>
      </w:r>
      <w:r>
        <w:rPr>
          <w:sz w:val="28"/>
          <w:u w:val="single"/>
        </w:rPr>
        <w:t>+</w:t>
      </w:r>
      <w:r>
        <w:rPr>
          <w:sz w:val="28"/>
        </w:rPr>
        <w:t>12,5 Бк/кг.</w:t>
      </w:r>
    </w:p>
    <w:p w14:paraId="CF000000">
      <w:pPr>
        <w:pStyle w:val="Style_2"/>
        <w:spacing w:after="0" w:before="0" w:line="240" w:lineRule="auto"/>
        <w:ind w:firstLine="709" w:left="0" w:right="0"/>
        <w:jc w:val="center"/>
        <w:rPr>
          <w:rFonts w:ascii="Times New Roman" w:hAnsi="Times New Roman"/>
        </w:rPr>
      </w:pPr>
      <w:r>
        <w:rPr>
          <w:i w:val="0"/>
          <w:color w:val="000000"/>
          <w:sz w:val="28"/>
        </w:rPr>
        <w:t>Характеристика песчаной составляющей ПГС:</w:t>
      </w:r>
    </w:p>
    <w:p w14:paraId="D0000000">
      <w:pPr>
        <w:pStyle w:val="Style_2"/>
        <w:numPr>
          <w:numId w:val="11"/>
        </w:numPr>
        <w:spacing w:after="0" w:before="0" w:line="240" w:lineRule="auto"/>
        <w:ind w:firstLine="709" w:left="0" w:right="0"/>
        <w:jc w:val="both"/>
        <w:rPr>
          <w:rFonts w:ascii="Times New Roman" w:hAnsi="Times New Roman"/>
        </w:rPr>
      </w:pPr>
      <w:r>
        <w:rPr>
          <w:sz w:val="28"/>
        </w:rPr>
        <w:t xml:space="preserve">средние значения частных (полных) остатков при определении гранулометрического состава гравийной составляющей ПГС: 5,0-2,5 мм – </w:t>
      </w:r>
      <w:r>
        <w:rPr>
          <w:sz w:val="28"/>
        </w:rPr>
        <w:t xml:space="preserve">20,91% (20,91%), 2,5-1,25 мм – </w:t>
      </w:r>
      <w:r>
        <w:rPr>
          <w:sz w:val="28"/>
        </w:rPr>
        <w:t xml:space="preserve">16,07 % (36,98%), 1,25-0,63 мм – </w:t>
      </w:r>
      <w:r>
        <w:rPr>
          <w:sz w:val="28"/>
        </w:rPr>
        <w:t xml:space="preserve">23,18% (60,16%), 0,63-0,315 мм – 18,49 % (78,65%), 0,315-0,16 мм – 7,75% (86,40%) фракция &lt; 0,16 мм – </w:t>
      </w:r>
      <w:r>
        <w:rPr>
          <w:sz w:val="28"/>
        </w:rPr>
        <w:t>13,60% (100,0%);</w:t>
      </w:r>
    </w:p>
    <w:p w14:paraId="D1000000">
      <w:pPr>
        <w:pStyle w:val="Style_2"/>
        <w:numPr>
          <w:numId w:val="11"/>
        </w:numPr>
        <w:spacing w:after="0" w:before="0" w:line="240" w:lineRule="auto"/>
        <w:ind w:firstLine="709" w:left="0" w:right="0"/>
        <w:jc w:val="both"/>
        <w:rPr>
          <w:sz w:val="28"/>
        </w:rPr>
      </w:pPr>
      <w:r>
        <w:rPr>
          <w:sz w:val="28"/>
        </w:rPr>
        <w:t xml:space="preserve">модуль крупности от 2,80 до 2,90, среднее значение 2,84, относится к «крупному» </w:t>
      </w:r>
      <w:r>
        <w:rPr>
          <w:sz w:val="28"/>
        </w:rPr>
        <w:t>II</w:t>
      </w:r>
      <w:r>
        <w:rPr>
          <w:sz w:val="28"/>
        </w:rPr>
        <w:t xml:space="preserve"> класса; содержание пылевидных и глинистых частиц </w:t>
      </w:r>
      <w:r>
        <w:rPr>
          <w:sz w:val="28"/>
        </w:rPr>
        <w:t xml:space="preserve">от 2,60 до 2,71%, среднее – 2,71%; содержание частиц &lt; 0,16 мм от 12,76 до 14,64%, среднее значение – </w:t>
      </w:r>
      <w:r>
        <w:rPr>
          <w:sz w:val="28"/>
        </w:rPr>
        <w:t xml:space="preserve">13,6%, выход песка в среднем 39,92%; удельная эффективная  активность 62,1 </w:t>
      </w:r>
      <w:r>
        <w:rPr>
          <w:sz w:val="28"/>
          <w:u w:val="single"/>
        </w:rPr>
        <w:t>+</w:t>
      </w:r>
      <w:r>
        <w:rPr>
          <w:sz w:val="28"/>
        </w:rPr>
        <w:t>9,8 Бк/кг.</w:t>
      </w:r>
    </w:p>
    <w:p w14:paraId="D2000000">
      <w:pPr>
        <w:pStyle w:val="Style_2"/>
        <w:spacing w:after="0" w:before="0" w:line="240" w:lineRule="auto"/>
        <w:ind w:firstLine="708" w:left="0" w:right="0"/>
        <w:jc w:val="both"/>
        <w:rPr>
          <w:rFonts w:ascii="Times New Roman" w:hAnsi="Times New Roman"/>
        </w:rPr>
      </w:pPr>
      <w:r>
        <w:rPr>
          <w:sz w:val="28"/>
        </w:rPr>
        <w:t xml:space="preserve">По технологическим свойствам ПГС отвечает требованием ГОСТ 23735-2014, гравийная составляющая – </w:t>
      </w:r>
      <w:r>
        <w:rPr>
          <w:sz w:val="28"/>
        </w:rPr>
        <w:t xml:space="preserve">требованиям ГОСТ 8267-93, песчаная составляющая – </w:t>
      </w:r>
      <w:r>
        <w:rPr>
          <w:sz w:val="28"/>
        </w:rPr>
        <w:t xml:space="preserve">требованиям ГОСТ 8736-2014. По содержанию естественных радионуклидов ПГС соответствует требованиям СанПиН 2.6.1.2523-09 (НРБ-99/2009), ГОСТ 3010894. </w:t>
      </w:r>
    </w:p>
    <w:p w14:paraId="D3000000">
      <w:pPr>
        <w:pStyle w:val="Style_2"/>
        <w:spacing w:after="0" w:before="0" w:line="240" w:lineRule="auto"/>
        <w:ind w:firstLine="708" w:left="0" w:right="0"/>
        <w:jc w:val="both"/>
        <w:rPr>
          <w:sz w:val="28"/>
        </w:rPr>
      </w:pPr>
      <w:r>
        <w:rPr>
          <w:sz w:val="28"/>
        </w:rPr>
        <w:t xml:space="preserve">По физико-механическим свойствам полезное ископаемое может применяться в дорожном строительстве, по содержанию вредных компонентов и примесей может применяться для изготовления бетонов марок до </w:t>
      </w:r>
      <w:r>
        <w:rPr>
          <w:sz w:val="28"/>
        </w:rPr>
        <w:t>F</w:t>
      </w:r>
      <w:r>
        <w:rPr>
          <w:sz w:val="28"/>
        </w:rPr>
        <w:t xml:space="preserve">50, по содержанию естественных радионуклидов относится к первому классу строительных материалов и разрешается к использованию во всех видах строительства без ограничений. </w:t>
      </w:r>
    </w:p>
    <w:p w14:paraId="D4000000">
      <w:pPr>
        <w:pStyle w:val="Style_2"/>
        <w:spacing w:line="240" w:lineRule="auto"/>
        <w:ind w:firstLine="706" w:left="0" w:right="0"/>
        <w:jc w:val="both"/>
        <w:rPr>
          <w:sz w:val="28"/>
        </w:rPr>
      </w:pPr>
      <w:r>
        <w:rPr>
          <w:color w:val="000000"/>
          <w:sz w:val="28"/>
        </w:rPr>
        <w:t xml:space="preserve">На участке недр «Прикарьерный» </w:t>
      </w:r>
      <w:r>
        <w:rPr>
          <w:color w:val="000000"/>
          <w:sz w:val="28"/>
        </w:rPr>
        <w:t>планируется выявить</w:t>
      </w:r>
      <w:r>
        <w:rPr>
          <w:color w:val="000000"/>
          <w:sz w:val="28"/>
        </w:rPr>
        <w:t xml:space="preserve"> </w:t>
      </w:r>
      <w:r>
        <w:rPr>
          <w:sz w:val="28"/>
        </w:rPr>
        <w:t>аналогичные отложения</w:t>
      </w:r>
      <w:r>
        <w:rPr>
          <w:color w:val="000000"/>
          <w:sz w:val="28"/>
        </w:rPr>
        <w:t>.</w:t>
      </w:r>
    </w:p>
    <w:p w14:paraId="D5000000">
      <w:pPr>
        <w:pStyle w:val="Style_5"/>
        <w:tabs>
          <w:tab w:leader="none" w:pos="708" w:val="clear"/>
          <w:tab w:leader="none" w:pos="993" w:val="left"/>
          <w:tab w:leader="none" w:pos="1276" w:val="left"/>
        </w:tabs>
        <w:spacing w:line="240" w:lineRule="auto"/>
        <w:ind w:firstLine="709" w:left="0" w:right="0"/>
        <w:jc w:val="both"/>
        <w:rPr>
          <w:sz w:val="28"/>
        </w:rPr>
      </w:pPr>
      <w:r>
        <w:rPr>
          <w:sz w:val="28"/>
        </w:rPr>
        <w:t>Географические координаты угловых точек участка недр в государственной географической системе координат ГСК-2011, площадь участка недр и схема его расположения:</w:t>
      </w:r>
    </w:p>
    <w:p w14:paraId="D6000000">
      <w:pPr>
        <w:pStyle w:val="Style_5"/>
        <w:tabs>
          <w:tab w:leader="none" w:pos="708" w:val="clear"/>
          <w:tab w:leader="none" w:pos="993" w:val="left"/>
          <w:tab w:leader="none" w:pos="1276" w:val="left"/>
        </w:tabs>
        <w:spacing w:line="240" w:lineRule="auto"/>
        <w:ind w:firstLine="0" w:left="-426" w:right="0"/>
        <w:jc w:val="both"/>
        <w:rPr>
          <w:color w:val="7030A0"/>
          <w:sz w:val="28"/>
        </w:rPr>
      </w:pPr>
    </w:p>
    <w:p w14:paraId="D7000000">
      <w:pPr>
        <w:pStyle w:val="Style_5"/>
        <w:tabs>
          <w:tab w:leader="none" w:pos="708" w:val="clear"/>
          <w:tab w:leader="none" w:pos="993" w:val="left"/>
          <w:tab w:leader="none" w:pos="1276" w:val="left"/>
        </w:tabs>
        <w:ind w:firstLine="0" w:left="-426" w:right="0"/>
        <w:jc w:val="center"/>
        <w:rPr>
          <w:color w:val="7030A0"/>
          <w:sz w:val="28"/>
        </w:rPr>
      </w:pPr>
      <w:r>
        <w:drawing>
          <wp:inline>
            <wp:extent cx="5762624" cy="7810499"/>
            <wp:effectExtent b="0" l="0" r="0" t="0"/>
            <wp:docPr hidden="false" id="4" name="Picture 4"/>
            <a:graphic>
              <a:graphicData uri="http://schemas.openxmlformats.org/drawingml/2006/picture">
                <pic:pic>
                  <pic:nvPicPr>
                    <pic:cNvPr hidden="false" id="3" name="Picture 3"/>
                    <pic:cNvPicPr preferRelativeResize="true"/>
                  </pic:nvPicPr>
                  <pic:blipFill>
                    <a:blip r:embed="rId6"/>
                    <a:stretch/>
                  </pic:blipFill>
                  <pic:spPr>
                    <a:xfrm flipH="false" flipV="false" rot="0">
                      <a:ext cx="5762624" cy="7810499"/>
                    </a:xfrm>
                    <a:prstGeom prst="rect"/>
                  </pic:spPr>
                </pic:pic>
              </a:graphicData>
            </a:graphic>
          </wp:inline>
        </w:drawing>
      </w:r>
    </w:p>
    <w:p w14:paraId="D8000000">
      <w:pPr>
        <w:pStyle w:val="Style_5"/>
        <w:spacing w:after="240" w:before="240"/>
        <w:ind w:firstLine="0" w:left="0" w:right="0"/>
        <w:contextualSpacing w:val="1"/>
        <w:jc w:val="center"/>
        <w:rPr>
          <w:sz w:val="28"/>
        </w:rPr>
      </w:pPr>
      <w:r>
        <w:rPr>
          <w:sz w:val="28"/>
        </w:rPr>
        <w:t>Основные условия пользования недрами</w:t>
      </w:r>
    </w:p>
    <w:p w14:paraId="D9000000">
      <w:pPr>
        <w:pStyle w:val="Style_5"/>
        <w:spacing w:after="240" w:before="240"/>
        <w:ind w:firstLine="0" w:left="0" w:right="0"/>
        <w:contextualSpacing w:val="1"/>
        <w:jc w:val="center"/>
        <w:rPr>
          <w:sz w:val="28"/>
        </w:rPr>
      </w:pPr>
    </w:p>
    <w:p w14:paraId="DA000000">
      <w:pPr>
        <w:pStyle w:val="Style_5"/>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Победитель аукциона должен осуществлять геологическое изучение недр, разведку и добычу полезного ископаемого в соответствии с нижеследующими основными условиями пользования недрами (далее – Основные условия пользования недрами).</w:t>
      </w:r>
    </w:p>
    <w:p w14:paraId="DB000000">
      <w:pPr>
        <w:pStyle w:val="Style_5"/>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Срок пользования участком недр исчисляется с даты государственной регистрации лицензии на пользование недрами (день внесения записи о государственной регистрации лицензии в государственный реестр участков недр, предоставленных в пользование, и лицензий на пользование недрами).</w:t>
      </w:r>
    </w:p>
    <w:p w14:paraId="DC000000">
      <w:pPr>
        <w:pStyle w:val="Style_5"/>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Сроки подготовки проектной документации:</w:t>
      </w:r>
    </w:p>
    <w:p w14:paraId="DD000000">
      <w:pPr>
        <w:pStyle w:val="Style_5"/>
        <w:widowControl w:val="0"/>
        <w:tabs>
          <w:tab w:leader="none" w:pos="708" w:val="clear"/>
          <w:tab w:leader="none" w:pos="735" w:val="left"/>
        </w:tabs>
        <w:ind w:firstLine="709" w:left="0" w:right="0"/>
        <w:jc w:val="both"/>
        <w:rPr>
          <w:sz w:val="28"/>
        </w:rPr>
      </w:pPr>
      <w:r>
        <w:rPr>
          <w:sz w:val="28"/>
        </w:rPr>
        <w:t>1) утверждение проектной документации на осуществление геологического изучения недр, включающего поиск и оценку месторождения полезных ископаемых, получившей положительное заключение экспертизы, предусмотренной статьей 36.1 Закона «О недрах» – не позднее 6 (шести) месяцев с даты государственной регистрации лицензии на пользование недрами; в случае расположения участка недр в границах территорий, имеющих ограничения по использованию и подлежащих особой защите (водные объекты, водоохранные зоны и прибрежные защитные полосы, леса, объекты растительного и животного мира, занесенные в Красную книгу Российской Федерации, красные книги субъектов Российской Федерации), при проектировании и осуществлении работ необходимо руководствоваться положениями Водного кодекса Российской Федерации, Лесного кодекса Российской Федерации, Земельного кодекса Российской Федерации, иных законодательных и нормативно-правовых актов Российской Федерации и субъектов Российской Федерации;</w:t>
      </w:r>
    </w:p>
    <w:p w14:paraId="DE000000">
      <w:pPr>
        <w:pStyle w:val="Style_5"/>
        <w:widowControl w:val="0"/>
        <w:tabs>
          <w:tab w:leader="none" w:pos="708" w:val="clear"/>
          <w:tab w:leader="none" w:pos="1134" w:val="left"/>
        </w:tabs>
        <w:ind w:firstLine="709" w:left="0" w:right="0"/>
        <w:jc w:val="both"/>
        <w:rPr>
          <w:sz w:val="28"/>
        </w:rPr>
      </w:pPr>
      <w:r>
        <w:rPr>
          <w:sz w:val="28"/>
        </w:rPr>
        <w:t>2) завершение геологического изучения участка недр, включающего поиски и оценку месторождения полезных ископаемых – не позднее 36 (тридцати шести) месяцев с даты государственной регистрации лицензии на пользование недрами;</w:t>
      </w:r>
    </w:p>
    <w:p w14:paraId="DF000000">
      <w:pPr>
        <w:pStyle w:val="Style_5"/>
        <w:widowControl w:val="0"/>
        <w:tabs>
          <w:tab w:leader="none" w:pos="708" w:val="clear"/>
          <w:tab w:leader="none" w:pos="1134" w:val="left"/>
        </w:tabs>
        <w:ind w:firstLine="709" w:left="0" w:right="0"/>
        <w:jc w:val="both"/>
        <w:rPr>
          <w:sz w:val="28"/>
        </w:rPr>
      </w:pPr>
      <w:r>
        <w:rPr>
          <w:sz w:val="28"/>
        </w:rPr>
        <w:t>3) представление материалов по результатам геологического изучения недр на государственную экспертизу запасов полезных ископаемых, геологической информации о предоставляемых в пользование участках недр, предусмотренную статьей 29 Закона «О недрах» – не позднее 2 (двух) месяцев с даты завершения геологического изучения месторождения полезных ископаемых;</w:t>
      </w:r>
    </w:p>
    <w:p w14:paraId="E0000000">
      <w:pPr>
        <w:pStyle w:val="Style_5"/>
        <w:widowControl w:val="0"/>
        <w:tabs>
          <w:tab w:leader="none" w:pos="708" w:val="clear"/>
          <w:tab w:leader="none" w:pos="1134" w:val="left"/>
        </w:tabs>
        <w:ind w:firstLine="709" w:left="0" w:right="0"/>
        <w:jc w:val="both"/>
        <w:rPr>
          <w:sz w:val="28"/>
        </w:rPr>
      </w:pPr>
      <w:r>
        <w:rPr>
          <w:sz w:val="28"/>
        </w:rPr>
        <w:t>4) утверждение проектной документации на осуществление разведки месторождения полезных ископаемых, получившей положительное заключение экспертизы, предусмотренной статьей 36.1 Закона «О недрах» – не позднее 46 (сорока шести) месяцев с даты государственной регистрации лицензии на пользование недрами;</w:t>
      </w:r>
    </w:p>
    <w:p w14:paraId="E1000000">
      <w:pPr>
        <w:pStyle w:val="Style_5"/>
        <w:widowControl w:val="0"/>
        <w:tabs>
          <w:tab w:leader="none" w:pos="708" w:val="clear"/>
          <w:tab w:leader="none" w:pos="1134" w:val="left"/>
        </w:tabs>
        <w:ind w:firstLine="709" w:left="0" w:right="0"/>
        <w:jc w:val="both"/>
        <w:rPr>
          <w:sz w:val="28"/>
        </w:rPr>
      </w:pPr>
      <w:r>
        <w:rPr>
          <w:sz w:val="28"/>
        </w:rPr>
        <w:t>5)  завершение разведки месторождения полезных ископаемых – не позднее 70 (семидесяти) месяцев с даты государственной регистрации лицензии на пользование недрами;</w:t>
      </w:r>
    </w:p>
    <w:p w14:paraId="E2000000">
      <w:pPr>
        <w:pStyle w:val="Style_5"/>
        <w:widowControl w:val="0"/>
        <w:tabs>
          <w:tab w:leader="none" w:pos="708" w:val="clear"/>
          <w:tab w:leader="none" w:pos="1134" w:val="left"/>
        </w:tabs>
        <w:ind w:firstLine="709" w:left="0" w:right="0"/>
        <w:jc w:val="both"/>
        <w:rPr>
          <w:sz w:val="28"/>
        </w:rPr>
      </w:pPr>
      <w:r>
        <w:rPr>
          <w:sz w:val="28"/>
        </w:rPr>
        <w:t>6) представление материалов по результатам разведки месторождения полезных ископаемых на государственную экспертизу запасов полезных ископаемых, геологической информации о предоставляемых в пользование участках недр, предусмотренную статьей 29 Закона «О недрах» – не позднее 2 (двух) месяцев с даты завершения разведочных работ на месторождении полезных ископаемых;</w:t>
      </w:r>
    </w:p>
    <w:p w14:paraId="E3000000">
      <w:pPr>
        <w:pStyle w:val="Style_5"/>
        <w:widowControl w:val="0"/>
        <w:tabs>
          <w:tab w:leader="none" w:pos="708" w:val="clear"/>
          <w:tab w:leader="none" w:pos="1134" w:val="left"/>
        </w:tabs>
        <w:ind w:firstLine="709" w:left="0" w:right="0"/>
        <w:jc w:val="both"/>
        <w:rPr>
          <w:sz w:val="28"/>
        </w:rPr>
      </w:pPr>
      <w:r>
        <w:rPr>
          <w:sz w:val="28"/>
        </w:rPr>
        <w:t xml:space="preserve">7) утверждение технического проекта разработки месторождения полезных ископаемых, согласованного в соответствии со статьей 23.2 Закона «О недрах» – не позднее 82 (восьмидесяти двух) месяцев с даты государственной регистрации лицензии на пользование недрами; проектные материалы разрабатываются в соответствии с действующими нормативными правовыми актами Российской Федерации в области разработки месторождений твердых полезных ископаемых (часть 4 статьи 23.2 Закона «О недрах»); </w:t>
      </w:r>
      <w:r>
        <w:rPr>
          <w:color w:val="000000"/>
          <w:sz w:val="28"/>
        </w:rPr>
        <w:t>проведение работ по добыче полезных ископаемых, предусмотренных данной проектной документацией, должно осуществляться с учетом запретов и/или ограничений по проведению работ на территориях со специальным правовым режимом, а в случаях, предусмотренных законодательством Российской Федерации, при наличии соответствующих согласований и/или разрешений, в том числе с учетом обеспечения исполнения требований подпункта 8 пункта 15 статьи 65 Водного Кодекса Российской Федерации в части запрета разведки и добычи общераспространенных полезных ископаемых в границах водоохранных зон водных объектов, а также части 4 статьи 119 Лесного кодекса Российской Федерации в части запрета проведения сплошных рубок лесных насаждений на особо защитных участках лесов (ОЗУ);</w:t>
      </w:r>
    </w:p>
    <w:p w14:paraId="E4000000">
      <w:pPr>
        <w:pStyle w:val="Style_5"/>
        <w:widowControl w:val="0"/>
        <w:tabs>
          <w:tab w:leader="none" w:pos="708" w:val="clear"/>
          <w:tab w:leader="none" w:pos="1134" w:val="left"/>
        </w:tabs>
        <w:ind w:firstLine="709" w:left="0" w:right="0"/>
        <w:jc w:val="both"/>
        <w:rPr>
          <w:sz w:val="28"/>
        </w:rPr>
      </w:pPr>
      <w:r>
        <w:rPr>
          <w:sz w:val="28"/>
        </w:rPr>
        <w:t>8) ввод месторождения полезных ископаемых в разработку (эксплуатацию) – не позднее 84 (восьмидесяти четырех) месяцев со дня государственной регистрации лицензии;</w:t>
      </w:r>
    </w:p>
    <w:p w14:paraId="E5000000">
      <w:pPr>
        <w:pStyle w:val="Style_5"/>
        <w:widowControl w:val="0"/>
        <w:tabs>
          <w:tab w:leader="none" w:pos="708" w:val="clear"/>
          <w:tab w:leader="none" w:pos="1134" w:val="left"/>
        </w:tabs>
        <w:ind w:firstLine="709" w:left="0" w:right="0"/>
        <w:jc w:val="both"/>
        <w:rPr>
          <w:sz w:val="28"/>
        </w:rPr>
      </w:pPr>
      <w:r>
        <w:rPr>
          <w:sz w:val="28"/>
        </w:rPr>
        <w:t>9) срок подготовки проекта рекультивации земель – в срок не позднее 6 (шести) месяцев до установленного срока завершения отработки месторождения.</w:t>
      </w:r>
    </w:p>
    <w:p w14:paraId="E6000000">
      <w:pPr>
        <w:pStyle w:val="Style_5"/>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В соответствии с частью 1.5, разделом 3 Положения о порядке проведения геологоразведочных работ по этапам и стадиям, утвержденным распоряжением Министерства природных ресурсов Российской Федерации от 05.07.1999 № 83-р, в зависимости от конкретных условий отдельные стадии работ по решению недропользователя могут совмещаться с другими стадиями (работы поисковой и оценочной стадий могут проводиться самостоятельно или на условиях предпринимательского риска быть совмещены с работами по разведке месторождения полезных ископаемых).</w:t>
      </w:r>
    </w:p>
    <w:p w14:paraId="E7000000">
      <w:pPr>
        <w:pStyle w:val="Style_5"/>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color w:val="000000"/>
          <w:sz w:val="28"/>
        </w:rPr>
        <w:t>В течение 1 года со дня государственной регистрации лицензии на пользование недрами одновременно с проведением геологоразведочных работ с подсчетом запасов полезных ископаемых в соответствии с проектом геологоразведочных работ  допускается разработка месторождения полезных ископаемых согласно проекту опытно-промышленной разработки месторождения, согласованному и утвержденному в порядке, предусмотренном статьей 23.2 Закона «О недрах».</w:t>
      </w:r>
    </w:p>
    <w:p w14:paraId="E8000000">
      <w:pPr>
        <w:pStyle w:val="Style_5"/>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По охране недр и окружающей среды, соблюдению границ водоохранных зон водных объектов, защите лесов, безопасному ведению работ, связанных с пользованием недрами, победитель аукциона обязуется обеспечить выполнение установленных законодательством Российской Федерации требований.</w:t>
      </w:r>
    </w:p>
    <w:p w14:paraId="E9000000">
      <w:pPr>
        <w:pStyle w:val="Style_5"/>
        <w:numPr>
          <w:ilvl w:val="0"/>
          <w:numId w:val="1"/>
        </w:numPr>
        <w:tabs>
          <w:tab w:leader="none" w:pos="142" w:val="left"/>
          <w:tab w:leader="none" w:pos="708" w:val="clear"/>
          <w:tab w:leader="none" w:pos="851" w:val="left"/>
          <w:tab w:leader="none" w:pos="993" w:val="left"/>
          <w:tab w:leader="none" w:pos="1134" w:val="left"/>
        </w:tabs>
        <w:ind w:firstLine="709" w:left="0" w:right="0"/>
        <w:jc w:val="both"/>
        <w:rPr>
          <w:color w:val="7030A0"/>
          <w:sz w:val="28"/>
        </w:rPr>
      </w:pPr>
      <w:r>
        <w:rPr>
          <w:sz w:val="28"/>
        </w:rPr>
        <w:t xml:space="preserve">Предоставление в установленном порядке форм федерального государственного статистического наблюдения (государственной статистической отчетности) в сфере недропользования, установленных законодательством Российской Федерации (ст. 32 Закона «О недрах», Федеральный </w:t>
      </w:r>
      <w:r>
        <w:rPr>
          <w:sz w:val="28"/>
        </w:rPr>
        <w:fldChar w:fldCharType="begin"/>
      </w:r>
      <w:r>
        <w:rPr>
          <w:sz w:val="28"/>
        </w:rPr>
        <w:instrText>HYPERLINK "consultantplus://offline/ref=396B047A891C8490E5EC709C96A1E29CCA7EECBCA1270DD269560DC91D6191F1D5412B0413E0864A27A2CF707DDAG1A"</w:instrText>
      </w:r>
      <w:r>
        <w:rPr>
          <w:sz w:val="28"/>
        </w:rPr>
        <w:fldChar w:fldCharType="separate"/>
      </w:r>
      <w:r>
        <w:rPr>
          <w:sz w:val="28"/>
        </w:rPr>
        <w:t>закон</w:t>
      </w:r>
      <w:r>
        <w:rPr>
          <w:sz w:val="28"/>
        </w:rPr>
        <w:fldChar w:fldCharType="end"/>
      </w:r>
      <w:r>
        <w:rPr>
          <w:sz w:val="28"/>
        </w:rPr>
        <w:t xml:space="preserve"> от 29.11.2007 № 282-ФЗ «Об официальном статистическом учете и системе государственной статистики в Российской Федерации») – в сроки, установленные в формах</w:t>
      </w:r>
      <w:r>
        <w:rPr>
          <w:color w:val="7030A0"/>
          <w:sz w:val="28"/>
        </w:rPr>
        <w:t>.</w:t>
      </w:r>
    </w:p>
    <w:p w14:paraId="EA000000">
      <w:pPr>
        <w:pStyle w:val="Style_5"/>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Платежи, налоги и сборы:</w:t>
      </w:r>
    </w:p>
    <w:p w14:paraId="EB000000">
      <w:pPr>
        <w:pStyle w:val="Style_2"/>
        <w:ind w:firstLine="709" w:left="0" w:right="0"/>
        <w:jc w:val="both"/>
        <w:rPr>
          <w:sz w:val="28"/>
        </w:rPr>
      </w:pPr>
      <w:r>
        <w:rPr>
          <w:sz w:val="28"/>
        </w:rPr>
        <w:t>1) разовый платеж за пользование недрами, определяемый по итогам проведения аукциона, за вычетом внесенного задатка вносится победителем аукциона в течение 30 дней со дня размещения на официальном сайте протокола о результатах аукциона в доход бюджета Камчатского края по реквизитам:</w:t>
      </w:r>
    </w:p>
    <w:p w14:paraId="EC000000">
      <w:pPr>
        <w:pStyle w:val="Style_5"/>
        <w:tabs>
          <w:tab w:leader="none" w:pos="0" w:val="left"/>
          <w:tab w:leader="none" w:pos="142" w:val="left"/>
          <w:tab w:leader="none" w:pos="708" w:val="clear"/>
          <w:tab w:leader="none" w:pos="709" w:val="left"/>
        </w:tabs>
        <w:ind w:firstLine="0" w:left="709" w:right="0"/>
        <w:jc w:val="both"/>
        <w:rPr>
          <w:sz w:val="28"/>
          <w:u w:val="single"/>
        </w:rPr>
      </w:pPr>
      <w:r>
        <w:rPr>
          <w:sz w:val="28"/>
          <w:u w:val="single"/>
        </w:rPr>
        <w:t>Наименование получателя:</w:t>
      </w:r>
    </w:p>
    <w:p w14:paraId="ED000000">
      <w:pPr>
        <w:pStyle w:val="Style_5"/>
        <w:tabs>
          <w:tab w:leader="none" w:pos="0" w:val="left"/>
          <w:tab w:leader="none" w:pos="142" w:val="left"/>
          <w:tab w:leader="none" w:pos="708" w:val="clear"/>
        </w:tabs>
        <w:ind w:firstLine="709" w:left="0" w:right="0"/>
        <w:jc w:val="both"/>
        <w:rPr>
          <w:sz w:val="28"/>
        </w:rPr>
      </w:pPr>
      <w:r>
        <w:rPr>
          <w:sz w:val="28"/>
        </w:rPr>
        <w:t>УФК по Камчатскому краю (Министерство природных ресурсов и экологии Камчатского края л/с 04382000990); ИНН 4101120894; КПП 410101001; ОКТМО 30701000.</w:t>
      </w:r>
    </w:p>
    <w:p w14:paraId="EE000000">
      <w:pPr>
        <w:pStyle w:val="Style_5"/>
        <w:tabs>
          <w:tab w:leader="none" w:pos="0" w:val="left"/>
          <w:tab w:leader="none" w:pos="142" w:val="left"/>
          <w:tab w:leader="none" w:pos="708" w:val="clear"/>
        </w:tabs>
        <w:ind w:firstLine="709" w:left="0" w:right="0"/>
        <w:jc w:val="both"/>
        <w:rPr>
          <w:sz w:val="28"/>
          <w:u w:val="single"/>
        </w:rPr>
      </w:pPr>
      <w:r>
        <w:rPr>
          <w:sz w:val="28"/>
          <w:u w:val="single"/>
        </w:rPr>
        <w:t>Банковские реквизиты получателя:</w:t>
      </w:r>
    </w:p>
    <w:p w14:paraId="EF000000">
      <w:pPr>
        <w:pStyle w:val="Style_5"/>
        <w:tabs>
          <w:tab w:leader="none" w:pos="0" w:val="left"/>
          <w:tab w:leader="none" w:pos="142" w:val="left"/>
          <w:tab w:leader="none" w:pos="708" w:val="clear"/>
        </w:tabs>
        <w:ind w:firstLine="709" w:left="0" w:right="0"/>
        <w:jc w:val="both"/>
        <w:rPr>
          <w:sz w:val="28"/>
        </w:rPr>
      </w:pPr>
      <w:r>
        <w:rPr>
          <w:sz w:val="28"/>
        </w:rPr>
        <w:t>Банк: ОТДЕЛЕНИЕ ПЕТРОПАВЛОВСК-КАМЧАТСКИЙ г. ПЕТРОПАВЛОВСК-КАМЧАТСКИЙ; р/с 40102810945370000031; БИК 013002402.</w:t>
      </w:r>
    </w:p>
    <w:p w14:paraId="F0000000">
      <w:pPr>
        <w:pStyle w:val="Style_5"/>
        <w:tabs>
          <w:tab w:leader="none" w:pos="0" w:val="left"/>
          <w:tab w:leader="none" w:pos="142" w:val="left"/>
          <w:tab w:leader="none" w:pos="708" w:val="clear"/>
        </w:tabs>
        <w:ind w:firstLine="709" w:left="0" w:right="0"/>
        <w:jc w:val="both"/>
        <w:rPr>
          <w:sz w:val="28"/>
          <w:u w:val="single"/>
        </w:rPr>
      </w:pPr>
      <w:r>
        <w:rPr>
          <w:sz w:val="28"/>
          <w:u w:val="single"/>
        </w:rPr>
        <w:t>Назначение платежа и код бюджетной классификации:</w:t>
      </w:r>
    </w:p>
    <w:p w14:paraId="F1000000">
      <w:pPr>
        <w:pStyle w:val="Style_5"/>
        <w:tabs>
          <w:tab w:leader="none" w:pos="0" w:val="left"/>
          <w:tab w:leader="none" w:pos="142" w:val="left"/>
          <w:tab w:leader="none" w:pos="708" w:val="clear"/>
        </w:tabs>
        <w:ind w:firstLine="709" w:left="0" w:right="0"/>
        <w:jc w:val="both"/>
        <w:rPr>
          <w:sz w:val="28"/>
        </w:rPr>
      </w:pPr>
      <w:bookmarkStart w:id="15" w:name="__DdeLink__43999_4251194469"/>
      <w:r>
        <w:rPr>
          <w:sz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 код 808 1 12 02012 01 0000 120;</w:t>
      </w:r>
      <w:bookmarkEnd w:id="15"/>
    </w:p>
    <w:p w14:paraId="F2000000">
      <w:pPr>
        <w:pStyle w:val="Style_2"/>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2) налог на добычу полезных ископаемых (НДПИ) – ставка налога определяется в соответствии с налоговым законодательством Российской Федерации;</w:t>
      </w:r>
    </w:p>
    <w:p w14:paraId="F3000000">
      <w:pPr>
        <w:pStyle w:val="Style_2"/>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3) другие налоги и сборы, установленные законодательством Российской Федерации.</w:t>
      </w:r>
    </w:p>
    <w:p w14:paraId="F4000000">
      <w:pPr>
        <w:pStyle w:val="Style_2"/>
        <w:ind w:firstLine="708" w:left="0" w:right="0"/>
        <w:jc w:val="both"/>
        <w:rPr>
          <w:rFonts w:ascii="Calibri" w:hAnsi="Calibri"/>
          <w:sz w:val="22"/>
        </w:rPr>
      </w:pPr>
      <w:r>
        <w:rPr>
          <w:sz w:val="28"/>
        </w:rPr>
        <w:t>В соответствии со статьей 13.1 Закона «О недрах» выдача лицензии на пользование недрами по результатам аукциона осуществляется после уплаты указанного в протоколе о результатах аукциона или в случае, предусмотренном </w:t>
      </w:r>
      <w:r>
        <w:rPr>
          <w:sz w:val="28"/>
        </w:rPr>
        <w:fldChar w:fldCharType="begin"/>
      </w:r>
      <w:r>
        <w:rPr>
          <w:sz w:val="28"/>
        </w:rPr>
        <w:instrText>HYPERLINK "https://login.consultant.ru/link/?req=doc&amp;base=LAW&amp;n=420499&amp;dst=552&amp;field=134&amp;date=22.11.2022"</w:instrText>
      </w:r>
      <w:r>
        <w:rPr>
          <w:sz w:val="28"/>
        </w:rPr>
        <w:fldChar w:fldCharType="separate"/>
      </w:r>
      <w:r>
        <w:rPr>
          <w:sz w:val="28"/>
        </w:rPr>
        <w:t>частью восьмой</w:t>
      </w:r>
      <w:r>
        <w:rPr>
          <w:sz w:val="28"/>
        </w:rPr>
        <w:fldChar w:fldCharType="end"/>
      </w:r>
      <w:r>
        <w:rPr>
          <w:sz w:val="28"/>
        </w:rPr>
        <w:t> статьи 13.1 Закона «О недрах», протоколе рассмотрения заявок на участие в аукционе окончательного размера разового платежа за пользование недрами и государственной пошлины за выдачу лицензии. </w:t>
      </w:r>
    </w:p>
    <w:p w14:paraId="F5000000">
      <w:pPr>
        <w:pStyle w:val="Style_5"/>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Право собственности на геологическую информацию о недрах: победитель аукциона, как пользователь недр, будет иметь право на получение в установленном порядке полного объема геологической информации по предоставленному ему участку недр местного значения.</w:t>
      </w:r>
    </w:p>
    <w:p w14:paraId="F6000000">
      <w:pPr>
        <w:pStyle w:val="Style_5"/>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 xml:space="preserve">Особые условия пользования участком недр местного значения: право пользования недрами может быть досрочно прекращено, приостановлено или ограничено в соответствии со статьями 20, 20.1 и 20.2 Закона «О недрах». </w:t>
      </w:r>
    </w:p>
    <w:p w14:paraId="F7000000">
      <w:pPr>
        <w:pStyle w:val="Style_5"/>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Промышленная добыча полезных ископаемых на участке недр местного значения разрешается при наличии у владельца лицензии:</w:t>
      </w:r>
    </w:p>
    <w:p w14:paraId="F8000000">
      <w:pPr>
        <w:pStyle w:val="Style_2"/>
        <w:widowControl w:val="0"/>
        <w:numPr>
          <w:ilvl w:val="0"/>
          <w:numId w:val="12"/>
        </w:numPr>
        <w:tabs>
          <w:tab w:leader="none" w:pos="0" w:val="left"/>
          <w:tab w:leader="none" w:pos="708" w:val="clear"/>
          <w:tab w:leader="none" w:pos="1080" w:val="left"/>
        </w:tabs>
        <w:ind w:firstLine="720" w:left="0" w:right="-6"/>
        <w:jc w:val="both"/>
        <w:rPr>
          <w:sz w:val="28"/>
        </w:rPr>
      </w:pPr>
      <w:r>
        <w:rPr>
          <w:sz w:val="28"/>
        </w:rPr>
        <w:t>утвержденных и согласованных в установленном порядке проектных документов на разработку участка недр местного значения, в том числе, планов и схем развития горных работ;</w:t>
      </w:r>
    </w:p>
    <w:p w14:paraId="F9000000">
      <w:pPr>
        <w:pStyle w:val="Style_2"/>
        <w:widowControl w:val="0"/>
        <w:numPr>
          <w:ilvl w:val="0"/>
          <w:numId w:val="12"/>
        </w:numPr>
        <w:tabs>
          <w:tab w:leader="none" w:pos="0" w:val="left"/>
          <w:tab w:leader="none" w:pos="708" w:val="clear"/>
          <w:tab w:leader="none" w:pos="1080" w:val="left"/>
        </w:tabs>
        <w:ind w:firstLine="720" w:left="0" w:right="-6"/>
        <w:jc w:val="both"/>
        <w:rPr>
          <w:sz w:val="28"/>
        </w:rPr>
      </w:pPr>
      <w:r>
        <w:rPr>
          <w:sz w:val="28"/>
        </w:rPr>
        <w:t>оформленного горного отвода на участок недр;</w:t>
      </w:r>
    </w:p>
    <w:p w14:paraId="FA000000">
      <w:pPr>
        <w:pStyle w:val="Style_2"/>
        <w:widowControl w:val="0"/>
        <w:numPr>
          <w:ilvl w:val="0"/>
          <w:numId w:val="12"/>
        </w:numPr>
        <w:tabs>
          <w:tab w:leader="none" w:pos="0" w:val="left"/>
          <w:tab w:leader="none" w:pos="708" w:val="clear"/>
          <w:tab w:leader="none" w:pos="1080" w:val="left"/>
        </w:tabs>
        <w:ind w:firstLine="720" w:left="0" w:right="-6"/>
        <w:jc w:val="both"/>
        <w:rPr>
          <w:sz w:val="28"/>
        </w:rPr>
      </w:pPr>
      <w:r>
        <w:rPr>
          <w:sz w:val="28"/>
        </w:rPr>
        <w:t>оформленного земельного отвода на участок работ;</w:t>
      </w:r>
    </w:p>
    <w:p w14:paraId="FB000000">
      <w:pPr>
        <w:pStyle w:val="Style_2"/>
        <w:widowControl w:val="0"/>
        <w:numPr>
          <w:ilvl w:val="0"/>
          <w:numId w:val="12"/>
        </w:numPr>
        <w:tabs>
          <w:tab w:leader="none" w:pos="0" w:val="left"/>
          <w:tab w:leader="none" w:pos="708" w:val="clear"/>
          <w:tab w:leader="none" w:pos="1080" w:val="left"/>
        </w:tabs>
        <w:ind w:firstLine="720" w:left="0" w:right="-6"/>
        <w:jc w:val="both"/>
        <w:rPr>
          <w:sz w:val="28"/>
        </w:rPr>
      </w:pPr>
      <w:r>
        <w:rPr>
          <w:sz w:val="28"/>
        </w:rPr>
        <w:t>оформленных лицензий на отдельные виды деятельности при проведении горных и иных видов работ, связанных с пользованием недрами, либо привлеченных лиц, имеющих такие лицензии.</w:t>
      </w:r>
    </w:p>
    <w:p w14:paraId="FC000000">
      <w:pPr>
        <w:pStyle w:val="Style_5"/>
        <w:numPr>
          <w:ilvl w:val="0"/>
          <w:numId w:val="1"/>
        </w:numPr>
        <w:tabs>
          <w:tab w:leader="none" w:pos="142" w:val="left"/>
          <w:tab w:leader="none" w:pos="708" w:val="clear"/>
          <w:tab w:leader="none" w:pos="851" w:val="left"/>
          <w:tab w:leader="none" w:pos="993" w:val="left"/>
          <w:tab w:leader="none" w:pos="1134" w:val="left"/>
        </w:tabs>
        <w:ind w:firstLine="709" w:left="0" w:right="0"/>
        <w:jc w:val="both"/>
        <w:rPr>
          <w:sz w:val="28"/>
        </w:rPr>
      </w:pPr>
      <w:r>
        <w:rPr>
          <w:sz w:val="28"/>
        </w:rPr>
        <w:t>Лица, виновные в нарушении законодательства Российской Федерации о недрах, несут административную, уголовную ответственность в порядке, установленном законодательством Российской Федерации. Привлечение к ответственности за нарушение законодательства Российской Федерации о недрах не освобождает виновных лиц от обязанности устранить выявленное нарушение и возместить причиненный этими лицами вред.</w:t>
      </w:r>
      <w:r>
        <w:br w:type="page"/>
      </w:r>
    </w:p>
    <w:p w14:paraId="FD000000">
      <w:pPr>
        <w:pStyle w:val="Style_2"/>
        <w:widowControl w:val="0"/>
        <w:ind w:firstLine="856" w:left="4956" w:right="0"/>
        <w:rPr>
          <w:sz w:val="28"/>
        </w:rPr>
      </w:pPr>
      <w:bookmarkStart w:id="16" w:name="Par78"/>
      <w:bookmarkEnd w:id="16"/>
      <w:r>
        <w:rPr>
          <w:sz w:val="28"/>
        </w:rPr>
        <w:t>Приложение № 1 к Порядку и</w:t>
      </w:r>
    </w:p>
    <w:p w14:paraId="FE000000">
      <w:pPr>
        <w:pStyle w:val="Style_2"/>
        <w:widowControl w:val="0"/>
        <w:ind w:firstLine="856" w:left="4956" w:right="0"/>
        <w:rPr>
          <w:sz w:val="28"/>
        </w:rPr>
      </w:pPr>
      <w:r>
        <w:rPr>
          <w:sz w:val="28"/>
        </w:rPr>
        <w:t>условиям проведения аукциона</w:t>
      </w:r>
    </w:p>
    <w:p w14:paraId="FF000000">
      <w:pPr>
        <w:pStyle w:val="Style_2"/>
        <w:tabs>
          <w:tab w:leader="none" w:pos="708" w:val="clear"/>
          <w:tab w:leader="none" w:pos="993" w:val="left"/>
        </w:tabs>
        <w:ind/>
        <w:jc w:val="center"/>
        <w:rPr>
          <w:sz w:val="28"/>
        </w:rPr>
      </w:pPr>
    </w:p>
    <w:p w14:paraId="00010000">
      <w:pPr>
        <w:pStyle w:val="Style_2"/>
        <w:numPr>
          <w:ilvl w:val="0"/>
          <w:numId w:val="0"/>
        </w:numPr>
        <w:ind w:firstLine="0" w:left="13" w:right="13"/>
        <w:jc w:val="center"/>
        <w:outlineLvl w:val="0"/>
        <w:rPr>
          <w:sz w:val="28"/>
        </w:rPr>
      </w:pPr>
      <w:r>
        <w:rPr>
          <w:sz w:val="28"/>
        </w:rPr>
        <w:t>Расчет стартового размера разового платежа</w:t>
      </w:r>
    </w:p>
    <w:p w14:paraId="01010000">
      <w:pPr>
        <w:pStyle w:val="Style_2"/>
        <w:numPr>
          <w:ilvl w:val="0"/>
          <w:numId w:val="0"/>
        </w:numPr>
        <w:ind w:firstLine="0" w:left="13" w:right="13"/>
        <w:jc w:val="center"/>
        <w:outlineLvl w:val="0"/>
        <w:rPr>
          <w:sz w:val="28"/>
        </w:rPr>
      </w:pPr>
      <w:r>
        <w:rPr>
          <w:sz w:val="28"/>
        </w:rPr>
        <w:t xml:space="preserve">за пользование </w:t>
      </w:r>
      <w:r>
        <w:rPr>
          <w:spacing w:val="-5"/>
          <w:sz w:val="28"/>
        </w:rPr>
        <w:t>участком недр местного значения «Прикарьерный»</w:t>
      </w:r>
    </w:p>
    <w:p w14:paraId="02010000">
      <w:pPr>
        <w:pStyle w:val="Style_2"/>
        <w:numPr>
          <w:ilvl w:val="0"/>
          <w:numId w:val="0"/>
        </w:numPr>
        <w:ind w:firstLine="0" w:left="13" w:right="13"/>
        <w:jc w:val="center"/>
        <w:outlineLvl w:val="0"/>
        <w:rPr>
          <w:sz w:val="28"/>
        </w:rPr>
      </w:pPr>
    </w:p>
    <w:p w14:paraId="03010000">
      <w:pPr>
        <w:pStyle w:val="Style_2"/>
        <w:ind w:firstLine="709" w:left="0" w:right="0"/>
        <w:jc w:val="both"/>
        <w:rPr>
          <w:sz w:val="28"/>
        </w:rPr>
      </w:pPr>
      <w:r>
        <w:rPr>
          <w:sz w:val="28"/>
        </w:rPr>
        <w:t>Настоящий расчёт подготовлен на основании статьи 40 Закона «О недрах», в соответствии с Методикой расчета минимального (стартового) размера разового платежа за пользование недрами, утвержденной совместным приказом Минприроды России № 242 и Роснедра № 01 от 31.03.2022 (далее – Методика).</w:t>
      </w:r>
    </w:p>
    <w:p w14:paraId="04010000">
      <w:pPr>
        <w:pStyle w:val="Style_2"/>
        <w:ind w:firstLine="709" w:left="0" w:right="0"/>
        <w:jc w:val="both"/>
        <w:rPr>
          <w:sz w:val="28"/>
        </w:rPr>
      </w:pPr>
      <w:r>
        <w:rPr>
          <w:sz w:val="28"/>
        </w:rPr>
        <w:t>Стартовый размер разового платежа за пользование недрами рассчитывается по формуле:</w:t>
      </w:r>
    </w:p>
    <w:p w14:paraId="05010000">
      <w:pPr>
        <w:pStyle w:val="Style_2"/>
        <w:ind w:firstLine="709" w:left="0" w:right="0"/>
        <w:jc w:val="both"/>
        <w:rPr>
          <w:sz w:val="28"/>
        </w:rPr>
      </w:pPr>
      <w:r>
        <w:rPr>
          <w:sz w:val="28"/>
        </w:rPr>
        <w:t xml:space="preserve">РП = РП </w:t>
      </w:r>
      <w:r>
        <w:rPr>
          <w:sz w:val="28"/>
          <w:vertAlign w:val="subscript"/>
        </w:rPr>
        <w:t>мин</w:t>
      </w:r>
      <w:r>
        <w:rPr>
          <w:sz w:val="28"/>
        </w:rPr>
        <w:t xml:space="preserve"> × К</w:t>
      </w:r>
      <w:r>
        <w:rPr>
          <w:sz w:val="28"/>
          <w:vertAlign w:val="subscript"/>
        </w:rPr>
        <w:t xml:space="preserve">инт,,  </w:t>
      </w:r>
      <w:r>
        <w:rPr>
          <w:sz w:val="28"/>
        </w:rPr>
        <w:t>где:</w:t>
      </w:r>
    </w:p>
    <w:p w14:paraId="06010000">
      <w:pPr>
        <w:pStyle w:val="Style_2"/>
        <w:ind w:firstLine="709" w:left="0" w:right="0"/>
        <w:jc w:val="both"/>
        <w:rPr>
          <w:sz w:val="28"/>
        </w:rPr>
      </w:pPr>
      <w:r>
        <w:rPr>
          <w:sz w:val="28"/>
        </w:rPr>
        <w:t>РП</w:t>
      </w:r>
      <w:r>
        <w:rPr>
          <w:sz w:val="28"/>
          <w:vertAlign w:val="subscript"/>
        </w:rPr>
        <w:t>мин</w:t>
      </w:r>
      <w:r>
        <w:rPr>
          <w:sz w:val="28"/>
        </w:rPr>
        <w:t xml:space="preserve"> – минимальный размер разового платежа за пользование недрами, руб.;</w:t>
      </w:r>
    </w:p>
    <w:p w14:paraId="07010000">
      <w:pPr>
        <w:pStyle w:val="Style_2"/>
        <w:ind w:firstLine="709" w:left="0" w:right="0"/>
        <w:jc w:val="both"/>
        <w:rPr>
          <w:sz w:val="28"/>
        </w:rPr>
      </w:pPr>
      <w:r>
        <w:rPr>
          <w:sz w:val="28"/>
        </w:rPr>
        <w:t>К</w:t>
      </w:r>
      <w:r>
        <w:rPr>
          <w:sz w:val="28"/>
          <w:vertAlign w:val="subscript"/>
        </w:rPr>
        <w:t xml:space="preserve">инт </w:t>
      </w:r>
      <w:r>
        <w:rPr>
          <w:sz w:val="28"/>
        </w:rPr>
        <w:t>– интегральный поправочный коэффициент, характеризующий участок недр местного значения.</w:t>
      </w:r>
    </w:p>
    <w:p w14:paraId="08010000">
      <w:pPr>
        <w:pStyle w:val="Style_2"/>
        <w:ind w:firstLine="709" w:left="0" w:right="0"/>
        <w:jc w:val="both"/>
        <w:rPr>
          <w:sz w:val="28"/>
        </w:rPr>
      </w:pPr>
      <w:r>
        <w:rPr>
          <w:sz w:val="28"/>
        </w:rPr>
        <w:t xml:space="preserve">РП </w:t>
      </w:r>
      <w:r>
        <w:rPr>
          <w:sz w:val="28"/>
          <w:vertAlign w:val="subscript"/>
        </w:rPr>
        <w:t>мин</w:t>
      </w:r>
      <w:r>
        <w:rPr>
          <w:sz w:val="28"/>
        </w:rPr>
        <w:t xml:space="preserve"> = НДПИ </w:t>
      </w:r>
      <w:r>
        <w:rPr>
          <w:sz w:val="28"/>
          <w:vertAlign w:val="subscript"/>
        </w:rPr>
        <w:t>год</w:t>
      </w:r>
      <w:r>
        <w:rPr>
          <w:sz w:val="28"/>
        </w:rPr>
        <w:t xml:space="preserve"> × П, где: </w:t>
      </w:r>
    </w:p>
    <w:p w14:paraId="09010000">
      <w:pPr>
        <w:pStyle w:val="Style_2"/>
        <w:ind w:firstLine="709" w:left="0" w:right="0"/>
        <w:jc w:val="both"/>
        <w:rPr>
          <w:sz w:val="28"/>
        </w:rPr>
      </w:pPr>
      <w:r>
        <w:rPr>
          <w:sz w:val="28"/>
        </w:rPr>
        <w:t>НДПИ </w:t>
      </w:r>
      <w:r>
        <w:rPr>
          <w:sz w:val="28"/>
          <w:vertAlign w:val="subscript"/>
        </w:rPr>
        <w:t>год</w:t>
      </w:r>
      <w:r>
        <w:rPr>
          <w:sz w:val="28"/>
        </w:rPr>
        <w:t xml:space="preserve"> – расчетная величина суммы налога на добычу полезных ископаемых в расчете на среднегодовую мощность добывающей организации;</w:t>
      </w:r>
    </w:p>
    <w:p w14:paraId="0A010000">
      <w:pPr>
        <w:pStyle w:val="Style_2"/>
        <w:ind w:firstLine="708" w:left="0" w:right="0"/>
        <w:jc w:val="both"/>
        <w:rPr>
          <w:sz w:val="28"/>
        </w:rPr>
      </w:pPr>
      <w:r>
        <w:rPr>
          <w:sz w:val="28"/>
        </w:rPr>
        <w:t>П – коэффициент, характеризующий минимальный процент расчетной величины суммы налога в расчете на среднегодовую мощность добывающей организации (принят равным 0,1).</w:t>
      </w:r>
    </w:p>
    <w:p w14:paraId="0B010000">
      <w:pPr>
        <w:pStyle w:val="Style_2"/>
        <w:ind w:firstLine="709" w:left="0" w:right="0"/>
        <w:jc w:val="both"/>
        <w:rPr>
          <w:sz w:val="28"/>
          <w:vertAlign w:val="subscript"/>
        </w:rPr>
      </w:pPr>
      <w:r>
        <w:rPr>
          <w:sz w:val="28"/>
        </w:rPr>
        <w:t xml:space="preserve">НДПИ </w:t>
      </w:r>
      <w:r>
        <w:rPr>
          <w:sz w:val="28"/>
          <w:vertAlign w:val="subscript"/>
        </w:rPr>
        <w:t>год</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 xml:space="preserve">ндпи, </w:t>
      </w:r>
      <w:r>
        <w:rPr>
          <w:sz w:val="28"/>
        </w:rPr>
        <w:t>где:</w:t>
      </w:r>
    </w:p>
    <w:p w14:paraId="0C010000">
      <w:pPr>
        <w:pStyle w:val="Style_2"/>
        <w:ind w:firstLine="709" w:left="0" w:right="0"/>
        <w:jc w:val="both"/>
        <w:rPr>
          <w:sz w:val="27"/>
        </w:rPr>
      </w:pPr>
      <w:r>
        <w:rPr>
          <w:sz w:val="28"/>
        </w:rPr>
        <w:t>Ц</w:t>
      </w:r>
      <w:r>
        <w:rPr>
          <w:sz w:val="27"/>
          <w:vertAlign w:val="subscript"/>
        </w:rPr>
        <w:t>пи</w:t>
      </w:r>
      <w:r>
        <w:rPr>
          <w:sz w:val="27"/>
        </w:rPr>
        <w:t xml:space="preserve"> = </w:t>
      </w:r>
      <w:r>
        <w:rPr>
          <w:sz w:val="28"/>
        </w:rPr>
        <w:t xml:space="preserve">стоимость единицы добытого полезного ископаемого (песчано-гравийная смесь природная), принимается равной средней рыночной цене реализации в регионе за период с 1 января по 31 июня 2023 года: </w:t>
      </w:r>
      <w:r>
        <w:rPr>
          <w:b w:val="0"/>
          <w:color w:val="000000"/>
          <w:sz w:val="28"/>
        </w:rPr>
        <w:t>(680+816+746+(350*1,65)+432)/5= 650,3 руб/м</w:t>
      </w:r>
      <w:r>
        <w:rPr>
          <w:b w:val="0"/>
          <w:color w:val="000000"/>
          <w:sz w:val="28"/>
          <w:vertAlign w:val="superscript"/>
        </w:rPr>
        <w:t>3</w:t>
      </w:r>
      <w:r>
        <w:rPr>
          <w:b w:val="0"/>
          <w:color w:val="000000"/>
          <w:sz w:val="28"/>
        </w:rPr>
        <w:t>;</w:t>
      </w:r>
    </w:p>
    <w:p w14:paraId="0D010000">
      <w:pPr>
        <w:pStyle w:val="Style_2"/>
        <w:ind w:firstLine="709" w:left="0" w:right="0"/>
        <w:jc w:val="both"/>
        <w:rPr>
          <w:sz w:val="28"/>
        </w:rPr>
      </w:pPr>
      <w:r>
        <w:rPr>
          <w:sz w:val="28"/>
        </w:rPr>
        <w:t>V</w:t>
      </w:r>
      <w:r>
        <w:rPr>
          <w:sz w:val="27"/>
          <w:vertAlign w:val="subscript"/>
        </w:rPr>
        <w:t>ср</w:t>
      </w:r>
      <w:r>
        <w:rPr>
          <w:sz w:val="27"/>
        </w:rPr>
        <w:t xml:space="preserve"> – </w:t>
      </w:r>
      <w:r>
        <w:rPr>
          <w:sz w:val="28"/>
        </w:rPr>
        <w:t>среднегодовая добыча полезного ископаемого (песчано-гравийная смесь), принимается равной среднегодовой добыче в  Камчатском крае на 1 производителя – 58,274 тыс. м</w:t>
      </w:r>
      <w:r>
        <w:rPr>
          <w:sz w:val="28"/>
          <w:vertAlign w:val="superscript"/>
        </w:rPr>
        <w:t>3</w:t>
      </w:r>
      <w:r>
        <w:rPr>
          <w:sz w:val="28"/>
        </w:rPr>
        <w:t>;</w:t>
      </w:r>
    </w:p>
    <w:p w14:paraId="0E010000">
      <w:pPr>
        <w:pStyle w:val="Style_2"/>
        <w:ind w:firstLine="709" w:left="0" w:right="0"/>
        <w:jc w:val="both"/>
        <w:rPr>
          <w:sz w:val="28"/>
        </w:rPr>
      </w:pPr>
      <w:r>
        <w:rPr>
          <w:sz w:val="28"/>
        </w:rPr>
        <w:t>С</w:t>
      </w:r>
      <w:r>
        <w:rPr>
          <w:sz w:val="28"/>
          <w:vertAlign w:val="subscript"/>
        </w:rPr>
        <w:t>ндпиСТ</w:t>
      </w:r>
      <w:r>
        <w:rPr>
          <w:sz w:val="28"/>
        </w:rPr>
        <w:t xml:space="preserve"> – величина налога на добычу полезного ископаемого, определяемая как произведение налоговой ставки, установленной п.п. 4 п. 2 ст. 342 ч. 2 Налогового кодекса Российской Федерации (далее – НК РФ) и предусмотренного ст. 342.8 НК РФ рентного коэффициента (К</w:t>
      </w:r>
      <w:r>
        <w:rPr>
          <w:sz w:val="28"/>
          <w:vertAlign w:val="subscript"/>
        </w:rPr>
        <w:t>рента</w:t>
      </w:r>
      <w:r>
        <w:rPr>
          <w:sz w:val="28"/>
        </w:rPr>
        <w:t>), без учета условий применения налоговой ставки 0 процентов, установленных п.п. 4 п. 2 ст. 342 НК РФ: при добыче неметаллического сырья, используемого в основном в строительной индустрии налоговая ставка составляет 5,5%, К</w:t>
      </w:r>
      <w:r>
        <w:rPr>
          <w:sz w:val="28"/>
          <w:vertAlign w:val="subscript"/>
        </w:rPr>
        <w:t>рента</w:t>
      </w:r>
      <w:r>
        <w:rPr>
          <w:sz w:val="28"/>
        </w:rPr>
        <w:t>= 1.</w:t>
      </w:r>
    </w:p>
    <w:p w14:paraId="0F010000">
      <w:pPr>
        <w:pStyle w:val="Style_2"/>
        <w:ind w:firstLine="709" w:left="0" w:right="0"/>
        <w:jc w:val="both"/>
      </w:pPr>
      <w:r>
        <w:rPr>
          <w:sz w:val="28"/>
        </w:rPr>
        <w:t>РП</w:t>
      </w:r>
      <w:r>
        <w:rPr>
          <w:sz w:val="28"/>
          <w:vertAlign w:val="subscript"/>
        </w:rPr>
        <w:t>мин</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ндпи</w:t>
      </w:r>
      <w:r>
        <w:rPr>
          <w:sz w:val="28"/>
        </w:rPr>
        <w:t>) × 0,1;</w:t>
      </w:r>
    </w:p>
    <w:p w14:paraId="10010000">
      <w:pPr>
        <w:pStyle w:val="Style_2"/>
        <w:ind w:firstLine="709" w:left="0" w:right="0"/>
        <w:jc w:val="both"/>
      </w:pPr>
      <w:r>
        <w:rPr>
          <w:sz w:val="28"/>
        </w:rPr>
        <w:t>К</w:t>
      </w:r>
      <w:r>
        <w:rPr>
          <w:sz w:val="28"/>
          <w:vertAlign w:val="subscript"/>
        </w:rPr>
        <w:t xml:space="preserve">инт </w:t>
      </w:r>
      <w:r>
        <w:rPr>
          <w:sz w:val="28"/>
        </w:rPr>
        <w:t>= К</w:t>
      </w:r>
      <w:r>
        <w:rPr>
          <w:sz w:val="28"/>
          <w:vertAlign w:val="subscript"/>
        </w:rPr>
        <w:t>изуч</w:t>
      </w:r>
      <w:r>
        <w:rPr>
          <w:sz w:val="28"/>
        </w:rPr>
        <w:t xml:space="preserve"> × К</w:t>
      </w:r>
      <w:r>
        <w:rPr>
          <w:sz w:val="28"/>
          <w:vertAlign w:val="subscript"/>
        </w:rPr>
        <w:t>инфр</w:t>
      </w:r>
      <w:r>
        <w:rPr>
          <w:sz w:val="28"/>
        </w:rPr>
        <w:t>,  где:</w:t>
      </w:r>
    </w:p>
    <w:p w14:paraId="11010000">
      <w:pPr>
        <w:pStyle w:val="Style_2"/>
        <w:ind w:firstLine="709" w:left="0" w:right="0"/>
        <w:jc w:val="both"/>
      </w:pPr>
      <w:r>
        <w:rPr>
          <w:sz w:val="28"/>
        </w:rPr>
        <w:t>К</w:t>
      </w:r>
      <w:r>
        <w:rPr>
          <w:sz w:val="28"/>
          <w:vertAlign w:val="subscript"/>
        </w:rPr>
        <w:t>изуч</w:t>
      </w:r>
      <w:r>
        <w:rPr>
          <w:sz w:val="28"/>
        </w:rPr>
        <w:t xml:space="preserve"> – поправочный коэффициент, выражающий степень геологической изученности (К</w:t>
      </w:r>
      <w:r>
        <w:rPr>
          <w:sz w:val="28"/>
          <w:vertAlign w:val="subscript"/>
        </w:rPr>
        <w:t>изуч</w:t>
      </w:r>
      <w:r>
        <w:rPr>
          <w:sz w:val="28"/>
        </w:rPr>
        <w:t xml:space="preserve"> =  1,0);</w:t>
      </w:r>
    </w:p>
    <w:p w14:paraId="12010000">
      <w:pPr>
        <w:pStyle w:val="Style_2"/>
        <w:ind w:firstLine="709" w:left="0" w:right="0"/>
        <w:jc w:val="both"/>
      </w:pPr>
      <w:r>
        <w:rPr>
          <w:sz w:val="28"/>
        </w:rPr>
        <w:t>К</w:t>
      </w:r>
      <w:r>
        <w:rPr>
          <w:sz w:val="28"/>
          <w:vertAlign w:val="subscript"/>
        </w:rPr>
        <w:t>инфр</w:t>
      </w:r>
      <w:r>
        <w:rPr>
          <w:sz w:val="28"/>
        </w:rPr>
        <w:t xml:space="preserve"> – поправочный коэффициент, учитывающий состояние инфраструктуры района и основные географо-экономические факторы субъекта Российской Федерации (близость магистральных трубопроводов, железнодорожных путей, иных видов транспорта и коммуникации, источников электроэнергии, состояние местной инфраструктуры), значения которого принимаются равными 1 для участков недр, содержащих только ресурсы и (или) прогнозные ресурсы полезных ископаемых, а для участков недр, содержащих запасы полезных ископаемых либо запасы полезных ископаемых и ресурсы и (или) прогнозные ресурсы полезных ископаемых, а для участков недр, содержащих запасы полезных ископаемых либо запасы полезных ископаемых и ресурсы и (или) прогнозные ресурсы полезных ископаемых, значения К</w:t>
      </w:r>
      <w:r>
        <w:rPr>
          <w:sz w:val="28"/>
          <w:vertAlign w:val="subscript"/>
        </w:rPr>
        <w:t>инфр</w:t>
      </w:r>
      <w:r>
        <w:rPr>
          <w:sz w:val="28"/>
        </w:rPr>
        <w:t xml:space="preserve"> приведены в </w:t>
      </w:r>
      <w:r>
        <w:rPr>
          <w:sz w:val="28"/>
        </w:rPr>
        <w:fldChar w:fldCharType="begin"/>
      </w:r>
      <w:r>
        <w:rPr>
          <w:sz w:val="28"/>
        </w:rPr>
        <w:instrText>HYPERLINK "consultantplus://offline/ref=C4E247C77DE45E681089AE75BC0CD446BFB7F8B95536506450ADE8ECE8A869503A479396770ACA9D06E7D3D8451C1AE794A459FB7207282CHAu2B"</w:instrText>
      </w:r>
      <w:r>
        <w:rPr>
          <w:sz w:val="28"/>
        </w:rPr>
        <w:fldChar w:fldCharType="separate"/>
      </w:r>
      <w:r>
        <w:rPr>
          <w:sz w:val="28"/>
        </w:rPr>
        <w:t>приложении № 2</w:t>
      </w:r>
      <w:r>
        <w:rPr>
          <w:sz w:val="28"/>
        </w:rPr>
        <w:fldChar w:fldCharType="end"/>
      </w:r>
      <w:r>
        <w:rPr>
          <w:sz w:val="28"/>
        </w:rPr>
        <w:t xml:space="preserve"> к Методике (для Камчатского края К</w:t>
      </w:r>
      <w:r>
        <w:rPr>
          <w:sz w:val="28"/>
          <w:vertAlign w:val="subscript"/>
        </w:rPr>
        <w:t>инфр</w:t>
      </w:r>
      <w:r>
        <w:rPr>
          <w:sz w:val="28"/>
        </w:rPr>
        <w:t>. = 1).</w:t>
      </w:r>
    </w:p>
    <w:p w14:paraId="13010000">
      <w:pPr>
        <w:pStyle w:val="Style_2"/>
        <w:ind w:firstLine="794" w:left="0" w:right="0"/>
        <w:jc w:val="both"/>
        <w:rPr>
          <w:sz w:val="28"/>
        </w:rPr>
      </w:pPr>
      <w:r>
        <w:rPr>
          <w:sz w:val="28"/>
        </w:rPr>
        <w:t>Стартовый размер разового платежа за пользование недрами по участку недр местного значения составляет:</w:t>
      </w:r>
    </w:p>
    <w:p w14:paraId="14010000">
      <w:pPr>
        <w:pStyle w:val="Style_2"/>
        <w:ind/>
        <w:jc w:val="both"/>
        <w:rPr>
          <w:sz w:val="28"/>
        </w:rPr>
      </w:pPr>
      <w:r>
        <w:rPr>
          <w:sz w:val="28"/>
        </w:rPr>
        <w:t>РП</w:t>
      </w:r>
      <w:r>
        <w:rPr>
          <w:sz w:val="28"/>
          <w:vertAlign w:val="subscript"/>
        </w:rPr>
        <w:t xml:space="preserve"> мин</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НДПИ</w:t>
      </w:r>
      <w:r>
        <w:rPr>
          <w:sz w:val="28"/>
        </w:rPr>
        <w:t>) × 0,1= (</w:t>
      </w:r>
      <w:r>
        <w:rPr>
          <w:b w:val="0"/>
          <w:color w:val="000000"/>
          <w:sz w:val="28"/>
        </w:rPr>
        <w:t>650,3</w:t>
      </w:r>
      <w:r>
        <w:rPr>
          <w:sz w:val="28"/>
        </w:rPr>
        <w:t xml:space="preserve"> × 58274 × 0,055) × 0,1= 208 425,70 руб.</w:t>
      </w:r>
    </w:p>
    <w:p w14:paraId="15010000">
      <w:pPr>
        <w:pStyle w:val="Style_2"/>
        <w:ind/>
        <w:jc w:val="both"/>
        <w:rPr>
          <w:sz w:val="28"/>
        </w:rPr>
      </w:pPr>
      <w:r>
        <w:rPr>
          <w:sz w:val="28"/>
        </w:rPr>
        <w:t>К</w:t>
      </w:r>
      <w:r>
        <w:rPr>
          <w:sz w:val="28"/>
          <w:vertAlign w:val="subscript"/>
        </w:rPr>
        <w:t>инт</w:t>
      </w:r>
      <w:r>
        <w:rPr>
          <w:sz w:val="28"/>
        </w:rPr>
        <w:t xml:space="preserve"> = К</w:t>
      </w:r>
      <w:r>
        <w:rPr>
          <w:sz w:val="28"/>
          <w:vertAlign w:val="subscript"/>
        </w:rPr>
        <w:t>изуч</w:t>
      </w:r>
      <w:r>
        <w:rPr>
          <w:sz w:val="28"/>
        </w:rPr>
        <w:t xml:space="preserve"> × К</w:t>
      </w:r>
      <w:r>
        <w:rPr>
          <w:sz w:val="28"/>
          <w:vertAlign w:val="subscript"/>
        </w:rPr>
        <w:t>инфр</w:t>
      </w:r>
      <w:r>
        <w:rPr>
          <w:sz w:val="28"/>
        </w:rPr>
        <w:t xml:space="preserve"> = 1 × 1,0= 1,0;</w:t>
      </w:r>
    </w:p>
    <w:p w14:paraId="16010000">
      <w:pPr>
        <w:pStyle w:val="Style_2"/>
        <w:ind/>
        <w:jc w:val="both"/>
        <w:rPr>
          <w:sz w:val="28"/>
        </w:rPr>
      </w:pPr>
      <w:r>
        <w:rPr>
          <w:sz w:val="28"/>
        </w:rPr>
        <w:t>РП = РП</w:t>
      </w:r>
      <w:r>
        <w:rPr>
          <w:sz w:val="28"/>
          <w:vertAlign w:val="subscript"/>
        </w:rPr>
        <w:t>мин</w:t>
      </w:r>
      <w:r>
        <w:rPr>
          <w:sz w:val="28"/>
        </w:rPr>
        <w:t xml:space="preserve"> × К</w:t>
      </w:r>
      <w:r>
        <w:rPr>
          <w:sz w:val="28"/>
          <w:vertAlign w:val="subscript"/>
        </w:rPr>
        <w:t>инт</w:t>
      </w:r>
      <w:r>
        <w:rPr>
          <w:sz w:val="28"/>
        </w:rPr>
        <w:t xml:space="preserve"> = 208 425,70 × 1,0 = 208 425,70 руб.</w:t>
      </w:r>
    </w:p>
    <w:p w14:paraId="17010000">
      <w:pPr>
        <w:pStyle w:val="Style_2"/>
        <w:ind/>
        <w:jc w:val="both"/>
        <w:rPr>
          <w:sz w:val="28"/>
        </w:rPr>
      </w:pPr>
      <w:r>
        <w:rPr>
          <w:sz w:val="28"/>
        </w:rPr>
        <w:t>Стартовый размер разового платежа за пользование недрами – 208 426 руб. (с учетом округления).</w:t>
      </w:r>
    </w:p>
    <w:p w14:paraId="18010000">
      <w:pPr>
        <w:pStyle w:val="Style_2"/>
        <w:rPr>
          <w:color w:val="984806"/>
          <w:sz w:val="27"/>
        </w:rPr>
      </w:pPr>
      <w:r>
        <w:br w:type="page"/>
      </w:r>
    </w:p>
    <w:p w14:paraId="19010000">
      <w:pPr>
        <w:pStyle w:val="Style_2"/>
        <w:widowControl w:val="0"/>
        <w:ind w:firstLine="856" w:left="4956" w:right="0"/>
        <w:rPr>
          <w:sz w:val="28"/>
        </w:rPr>
      </w:pPr>
      <w:r>
        <w:rPr>
          <w:sz w:val="28"/>
        </w:rPr>
        <w:t>Приложение 2 к Порядку и</w:t>
      </w:r>
    </w:p>
    <w:p w14:paraId="1A010000">
      <w:pPr>
        <w:pStyle w:val="Style_2"/>
        <w:widowControl w:val="0"/>
        <w:ind w:firstLine="856" w:left="4956" w:right="0"/>
        <w:rPr>
          <w:sz w:val="28"/>
        </w:rPr>
      </w:pPr>
      <w:r>
        <w:rPr>
          <w:sz w:val="28"/>
        </w:rPr>
        <w:t>условиям проведения аукциона</w:t>
      </w:r>
    </w:p>
    <w:p w14:paraId="1B010000">
      <w:pPr>
        <w:pStyle w:val="Style_2"/>
        <w:tabs>
          <w:tab w:leader="none" w:pos="708" w:val="clear"/>
          <w:tab w:leader="none" w:pos="993" w:val="left"/>
        </w:tabs>
        <w:ind/>
        <w:jc w:val="center"/>
        <w:rPr>
          <w:sz w:val="28"/>
        </w:rPr>
      </w:pPr>
    </w:p>
    <w:p w14:paraId="1C010000">
      <w:pPr>
        <w:sectPr>
          <w:headerReference r:id="rId5" w:type="first"/>
          <w:headerReference r:id="rId3" w:type="default"/>
          <w:footerReference r:id="rId4" w:type="default"/>
          <w:type w:val="nextPage"/>
          <w:pgSz w:h="16848" w:orient="portrait" w:w="11908"/>
          <w:pgMar w:bottom="850" w:footer="709" w:gutter="0" w:header="709" w:left="1134" w:right="567" w:top="1020"/>
          <w:pgNumType w:fmt="decimal" w:start="4"/>
          <w:titlePg/>
        </w:sectPr>
      </w:pPr>
    </w:p>
    <w:p w14:paraId="1D010000">
      <w:pPr>
        <w:pStyle w:val="Style_2"/>
        <w:ind/>
        <w:jc w:val="center"/>
        <w:rPr>
          <w:sz w:val="28"/>
        </w:rPr>
      </w:pPr>
      <w:r>
        <w:rPr>
          <w:color w:val="000000"/>
          <w:sz w:val="28"/>
        </w:rPr>
        <w:t>Определение суммы сбора за участие в аукционе на право пользования</w:t>
      </w:r>
    </w:p>
    <w:p w14:paraId="1E010000">
      <w:pPr>
        <w:pStyle w:val="Style_2"/>
        <w:ind/>
        <w:jc w:val="center"/>
        <w:rPr>
          <w:spacing w:val="-5"/>
          <w:sz w:val="28"/>
        </w:rPr>
      </w:pPr>
      <w:r>
        <w:rPr>
          <w:color w:val="000000"/>
          <w:spacing w:val="-5"/>
          <w:sz w:val="28"/>
        </w:rPr>
        <w:t>участком недр местного значения «Прикарьерный»</w:t>
      </w:r>
    </w:p>
    <w:p w14:paraId="1F010000">
      <w:pPr>
        <w:pStyle w:val="Style_2"/>
        <w:ind/>
        <w:jc w:val="center"/>
        <w:rPr>
          <w:spacing w:val="-5"/>
        </w:rPr>
      </w:pPr>
    </w:p>
    <w:p w14:paraId="20010000">
      <w:pPr>
        <w:sectPr>
          <w:headerReference r:id="rId1" w:type="default"/>
          <w:footerReference r:id="rId2" w:type="default"/>
          <w:type w:val="continuous"/>
          <w:pgSz w:h="16848" w:orient="portrait" w:w="11908"/>
          <w:pgMar w:bottom="850" w:footer="709" w:gutter="0" w:header="709" w:left="1134" w:right="567" w:top="1020"/>
        </w:sectPr>
      </w:pPr>
    </w:p>
    <w:p w14:paraId="21010000">
      <w:pPr>
        <w:pStyle w:val="Style_5"/>
        <w:tabs>
          <w:tab w:leader="none" w:pos="708" w:val="clear"/>
          <w:tab w:leader="none" w:pos="993" w:val="left"/>
          <w:tab w:leader="none" w:pos="1276" w:val="left"/>
        </w:tabs>
        <w:ind w:firstLine="709" w:left="0" w:right="0"/>
        <w:jc w:val="both"/>
        <w:rPr>
          <w:sz w:val="28"/>
        </w:rPr>
      </w:pPr>
      <w:r>
        <w:rPr>
          <w:sz w:val="28"/>
        </w:rPr>
        <w:t xml:space="preserve">Настоящий расчет подготовлен на основании части 4 совместного приказа Минприроды России № 756 и Роснедр № 12 от 15.10.2021 «Об утверждении Порядка определения суммы сбора за участие в аукционах на право пользования участками недр». </w:t>
      </w:r>
    </w:p>
    <w:p w14:paraId="22010000">
      <w:pPr>
        <w:pStyle w:val="Style_2"/>
        <w:ind w:firstLine="709" w:left="0" w:right="0"/>
        <w:jc w:val="both"/>
        <w:rPr>
          <w:sz w:val="28"/>
        </w:rPr>
      </w:pPr>
      <w:r>
        <w:rPr>
          <w:sz w:val="28"/>
        </w:rPr>
        <w:t>Сумма сбора за участие в аукционах определяется исходя из стоимости затрат на подготовку, проведение и подведение итогов аукциона, оплату труда привлекаемых экспертов.</w:t>
      </w:r>
    </w:p>
    <w:p w14:paraId="23010000">
      <w:pPr>
        <w:pStyle w:val="Style_2"/>
        <w:ind w:firstLine="709" w:left="0" w:right="0"/>
        <w:jc w:val="both"/>
        <w:rPr>
          <w:sz w:val="28"/>
        </w:rPr>
      </w:pPr>
      <w:r>
        <w:rPr>
          <w:sz w:val="28"/>
        </w:rPr>
        <w:t xml:space="preserve">Сумма сбора за участие в аукционе, взимаемая с каждого участника аукциона, определяется по формуле: </w:t>
      </w:r>
    </w:p>
    <w:p w14:paraId="24010000">
      <w:pPr>
        <w:sectPr>
          <w:type w:val="continuous"/>
          <w:pgSz w:h="16848" w:orient="portrait" w:w="11908"/>
          <w:pgMar w:bottom="850" w:footer="709" w:gutter="0" w:header="709" w:left="1134" w:right="567" w:top="1020"/>
        </w:sectPr>
      </w:pPr>
    </w:p>
    <w:p w14:paraId="25010000">
      <w:pPr>
        <w:pStyle w:val="Style_2"/>
        <w:ind w:firstLine="540" w:left="0" w:right="0"/>
        <w:jc w:val="both"/>
        <w:rPr>
          <w:sz w:val="28"/>
        </w:rPr>
      </w:pPr>
      <w:r>
        <w:rPr>
          <w:sz w:val="28"/>
        </w:rPr>
        <w:t>С = С</w:t>
      </w:r>
      <w:r>
        <w:rPr>
          <w:sz w:val="28"/>
          <w:vertAlign w:val="subscript"/>
        </w:rPr>
        <w:t>фикс</w:t>
      </w:r>
      <w:r>
        <w:rPr>
          <w:sz w:val="28"/>
        </w:rPr>
        <w:t xml:space="preserve"> x К</w:t>
      </w:r>
      <w:r>
        <w:rPr>
          <w:sz w:val="28"/>
          <w:vertAlign w:val="subscript"/>
        </w:rPr>
        <w:t xml:space="preserve">ин </w:t>
      </w:r>
      <w:r>
        <w:rPr>
          <w:sz w:val="28"/>
        </w:rPr>
        <w:t xml:space="preserve">, где: </w:t>
      </w:r>
    </w:p>
    <w:p w14:paraId="26010000">
      <w:pPr>
        <w:sectPr>
          <w:type w:val="continuous"/>
          <w:pgSz w:h="16848" w:orient="portrait" w:w="11908"/>
          <w:pgMar w:bottom="850" w:footer="709" w:gutter="0" w:header="709" w:left="1134" w:right="567" w:top="1020"/>
        </w:sectPr>
      </w:pPr>
    </w:p>
    <w:p w14:paraId="27010000">
      <w:pPr>
        <w:pStyle w:val="Style_2"/>
        <w:ind w:firstLine="540" w:left="0" w:right="0"/>
        <w:jc w:val="both"/>
        <w:rPr>
          <w:sz w:val="28"/>
        </w:rPr>
      </w:pPr>
      <w:r>
        <w:rPr>
          <w:sz w:val="28"/>
        </w:rPr>
        <w:t xml:space="preserve">С (руб.) – сумма сбора за участие в аукционе. Сумма сбора за участие в аукционе округляется по правилам арифметического округления до целых рублей; </w:t>
      </w:r>
    </w:p>
    <w:p w14:paraId="28010000">
      <w:pPr>
        <w:sectPr>
          <w:type w:val="continuous"/>
          <w:pgSz w:h="16848" w:orient="portrait" w:w="11908"/>
          <w:pgMar w:bottom="850" w:footer="709" w:gutter="0" w:header="709" w:left="1134" w:right="567" w:top="1020"/>
        </w:sectPr>
      </w:pPr>
    </w:p>
    <w:p w14:paraId="29010000">
      <w:pPr>
        <w:pStyle w:val="Style_2"/>
        <w:ind w:firstLine="540" w:left="0" w:right="0"/>
        <w:jc w:val="both"/>
        <w:rPr>
          <w:sz w:val="28"/>
        </w:rPr>
      </w:pPr>
      <w:r>
        <w:rPr>
          <w:sz w:val="28"/>
        </w:rPr>
        <w:t>С</w:t>
      </w:r>
      <w:r>
        <w:rPr>
          <w:sz w:val="28"/>
          <w:vertAlign w:val="subscript"/>
        </w:rPr>
        <w:t>фикс</w:t>
      </w:r>
      <w:r>
        <w:rPr>
          <w:sz w:val="28"/>
        </w:rPr>
        <w:t xml:space="preserve"> (руб.) – фиксированная часть суммы сбора за участие в аукционе, устанавливаемая в следующем размере: 47000 (сорок семь тысяч) рублей для аукционов на право пользования участками недр местного значения; </w:t>
      </w:r>
    </w:p>
    <w:p w14:paraId="2A010000">
      <w:pPr>
        <w:sectPr>
          <w:type w:val="continuous"/>
          <w:pgSz w:h="16848" w:orient="portrait" w:w="11908"/>
          <w:pgMar w:bottom="850" w:footer="709" w:gutter="0" w:header="709" w:left="1134" w:right="567" w:top="1020"/>
        </w:sectPr>
      </w:pPr>
    </w:p>
    <w:p w14:paraId="2B010000">
      <w:pPr>
        <w:pStyle w:val="Style_2"/>
        <w:ind w:firstLine="540" w:left="0" w:right="0"/>
        <w:jc w:val="both"/>
      </w:pPr>
      <w:r>
        <w:rPr>
          <w:sz w:val="28"/>
        </w:rPr>
        <w:t>К</w:t>
      </w:r>
      <w:r>
        <w:rPr>
          <w:sz w:val="28"/>
          <w:vertAlign w:val="subscript"/>
        </w:rPr>
        <w:t>ин</w:t>
      </w:r>
      <w:r>
        <w:rPr>
          <w:sz w:val="28"/>
        </w:rPr>
        <w:t xml:space="preserve"> – коэффициент, учитывающий фактическое изменение потребительских цен на товары и услуги в Российской Федерации. Определяется как произведение коэффициентов, рассчитанных на основе индексов потребительских цен на все товары и услуги по Российской Федерации (месяц в процентах к предыдущему месяцу), публикуемых Федеральной службой государственной статистики на своем официальном сайте в информационно-телекоммуникационной сети «Интернет» за период с месяца, в котором утвержден настоящий Порядок, до месяца, в котором производится определение суммы сбора за участие в аукционе, взимаемая с каждого участника аукциона, в соответствии с настоящим Порядком. Для перевода индексов потребительских цен на товары и услуги в коэффициенты, их значение за каждый период, приведенное в процентах, делится на 100. </w:t>
      </w:r>
    </w:p>
    <w:p w14:paraId="2C010000">
      <w:pPr>
        <w:sectPr>
          <w:type w:val="continuous"/>
          <w:pgSz w:h="16848" w:orient="portrait" w:w="11908"/>
          <w:pgMar w:bottom="850" w:footer="709" w:gutter="0" w:header="709" w:left="1134" w:right="567" w:top="1020"/>
        </w:sectPr>
      </w:pPr>
    </w:p>
    <w:p w14:paraId="2D010000">
      <w:pPr>
        <w:pStyle w:val="Style_2"/>
        <w:ind w:firstLine="540" w:left="0" w:right="0"/>
        <w:jc w:val="both"/>
        <w:rPr>
          <w:color w:val="000000"/>
        </w:rPr>
      </w:pPr>
      <w:r>
        <w:rPr>
          <w:color w:val="000000"/>
          <w:sz w:val="28"/>
        </w:rPr>
        <w:t>С = С</w:t>
      </w:r>
      <w:r>
        <w:rPr>
          <w:color w:val="000000"/>
          <w:sz w:val="28"/>
          <w:vertAlign w:val="subscript"/>
        </w:rPr>
        <w:t>фикс</w:t>
      </w:r>
      <w:r>
        <w:rPr>
          <w:color w:val="000000"/>
          <w:sz w:val="28"/>
        </w:rPr>
        <w:t xml:space="preserve"> x К</w:t>
      </w:r>
      <w:r>
        <w:rPr>
          <w:color w:val="000000"/>
          <w:sz w:val="28"/>
          <w:vertAlign w:val="subscript"/>
        </w:rPr>
        <w:t>ин</w:t>
      </w:r>
      <w:r>
        <w:rPr>
          <w:color w:val="000000"/>
          <w:sz w:val="28"/>
        </w:rPr>
        <w:t xml:space="preserve"> = 1,0111 х 1,0096 х 1,0082 х 1,0099 х 1,0117 х 1,0761 х 1,0156 х 1,0012 х 0,9965 х 0,9961 х 0,9948 х 1,0005 х 1,0018 х 1,0037 х 1,0078 х 1,0084 х 1,0046 х 1,0037 х 1,0038 х 1,0031 х 1,0037 х 1,0063 х 1,0028 х 1,0087 х 47 000,00 =  56 628,59 = 56 629,00.</w:t>
      </w:r>
    </w:p>
    <w:p w14:paraId="2E010000">
      <w:pPr>
        <w:pStyle w:val="Style_2"/>
        <w:ind w:firstLine="540" w:left="0" w:right="0"/>
        <w:jc w:val="both"/>
        <w:rPr>
          <w:color w:val="000000"/>
        </w:rPr>
      </w:pPr>
      <w:r>
        <w:rPr>
          <w:color w:val="000000"/>
          <w:sz w:val="28"/>
        </w:rPr>
        <w:t>С учетом округления С = 56 629</w:t>
      </w:r>
      <w:r>
        <w:rPr>
          <w:b w:val="1"/>
          <w:color w:val="000000"/>
          <w:sz w:val="28"/>
        </w:rPr>
        <w:t xml:space="preserve"> </w:t>
      </w:r>
      <w:r>
        <w:rPr>
          <w:color w:val="000000"/>
          <w:sz w:val="28"/>
        </w:rPr>
        <w:t>(пятьдесят шесть тысяч шестьсот двадцать девять) рублей.</w:t>
      </w:r>
    </w:p>
    <w:p w14:paraId="2F010000">
      <w:pPr>
        <w:pStyle w:val="Style_2"/>
        <w:numPr>
          <w:ilvl w:val="0"/>
          <w:numId w:val="0"/>
        </w:numPr>
        <w:ind w:firstLine="0" w:left="13" w:right="13"/>
        <w:jc w:val="center"/>
        <w:outlineLvl w:val="0"/>
        <w:rPr>
          <w:color w:val="984806"/>
          <w:sz w:val="28"/>
        </w:rPr>
      </w:pPr>
    </w:p>
    <w:p w14:paraId="30010000">
      <w:pPr>
        <w:pStyle w:val="Style_2"/>
        <w:numPr>
          <w:ilvl w:val="0"/>
          <w:numId w:val="0"/>
        </w:numPr>
        <w:ind w:firstLine="0" w:left="13" w:right="13"/>
        <w:jc w:val="center"/>
        <w:outlineLvl w:val="0"/>
        <w:rPr>
          <w:color w:val="984806"/>
          <w:sz w:val="28"/>
        </w:rPr>
      </w:pPr>
    </w:p>
    <w:sectPr>
      <w:type w:val="continuous"/>
      <w:pgSz w:h="16848" w:orient="portrait" w:w="11908"/>
      <w:pgMar w:bottom="850" w:footer="709" w:gutter="0" w:header="709" w:left="1134" w:right="567" w:top="102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3000000">
    <w:pPr>
      <w:pStyle w:val="Style_3"/>
    </w:pPr>
  </w:p>
</w:ftr>
</file>

<file path=word/footer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6000000">
    <w:pPr>
      <w:pStyle w:val="Style_3"/>
    </w:pP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1000000">
    <w:pPr>
      <w:pStyle w:val="Style_1"/>
      <w:ind/>
      <w:jc w:val="cente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0" distL="0" distR="0" distT="0" layoutInCell="true" locked="false" relativeHeight="251658240" simplePos="false">
              <wp:simplePos x="0" y="0"/>
              <wp:positionH relativeFrom="margin">
                <wp:align>center</wp:align>
              </wp:positionH>
              <wp:positionV relativeFrom="paragraph">
                <wp:posOffset>635</wp:posOffset>
              </wp:positionV>
              <wp:extent cx="153035" cy="173990"/>
              <wp:wrapSquare distB="0" distL="0" distR="0" distT="0" wrapText="bothSides"/>
              <wp:docPr hidden="false" id="1" name="Picture 1"/>
              <a:graphic>
                <a:graphicData uri="http://schemas.microsoft.com/office/word/2010/wordprocessingShape">
                  <wps:wsp>
                    <wps:cNvSpPr txBox="false"/>
                    <wps:spPr>
                      <a:xfrm flipH="false" flipV="false" rot="0">
                        <a:off x="0" y="0"/>
                        <a:ext cx="153035" cy="173990"/>
                      </a:xfrm>
                      <a:prstGeom prst="rect">
                        <a:avLst/>
                      </a:prstGeom>
                      <a:noFill/>
                      <a:ln w="0">
                        <a:noFill/>
                      </a:ln>
                    </wps:spPr>
                    <wps:txbx>
                      <w:txbxContent>
                        <w:p w14:paraId="02000000">
                          <w:pPr>
                            <w:pStyle w:val="Style_2"/>
                            <w:rPr>
                              <w:color w:val="000000"/>
                            </w:rPr>
                          </w:pPr>
                        </w:p>
                      </w:txbxContent>
                    </wps:txbx>
                    <wps:bodyPr anchor="t"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fldChar w:fldCharType="begin"/>
    </w:r>
    <w:r>
      <w:instrText xml:space="preserve">PAGE </w:instrText>
    </w:r>
    <w:r>
      <w:fldChar w:fldCharType="separate"/>
    </w:r>
    <w:r>
      <w:t xml:space="preserve"> </w:t>
    </w:r>
    <w:r>
      <w:fldChar w:fldCharType="end"/>
    </w: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4000000">
    <w:pPr>
      <w:pStyle w:val="Style_1"/>
      <w:ind/>
      <w:jc w:val="cente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0" distL="0" distR="0" distT="0" layoutInCell="true" locked="false" relativeHeight="251658240" simplePos="false">
              <wp:simplePos x="0" y="0"/>
              <wp:positionH relativeFrom="margin">
                <wp:align>center</wp:align>
              </wp:positionH>
              <wp:positionV relativeFrom="paragraph">
                <wp:posOffset>635</wp:posOffset>
              </wp:positionV>
              <wp:extent cx="153035" cy="173990"/>
              <wp:wrapSquare distB="0" distL="0" distR="0" distT="0" wrapText="bothSides"/>
              <wp:docPr hidden="false" id="2" name="Picture 2"/>
              <a:graphic>
                <a:graphicData uri="http://schemas.microsoft.com/office/word/2010/wordprocessingShape">
                  <wps:wsp>
                    <wps:cNvSpPr txBox="false"/>
                    <wps:spPr>
                      <a:xfrm flipH="false" flipV="false" rot="0">
                        <a:off x="0" y="0"/>
                        <a:ext cx="153035" cy="173990"/>
                      </a:xfrm>
                      <a:prstGeom prst="rect">
                        <a:avLst/>
                      </a:prstGeom>
                      <a:noFill/>
                      <a:ln w="0">
                        <a:noFill/>
                      </a:ln>
                    </wps:spPr>
                    <wps:txbx>
                      <w:txbxContent>
                        <w:p w14:paraId="05000000">
                          <w:pPr>
                            <w:pStyle w:val="Style_2"/>
                            <w:rPr>
                              <w:color w:val="000000"/>
                            </w:rPr>
                          </w:pPr>
                        </w:p>
                      </w:txbxContent>
                    </wps:txbx>
                    <wps:bodyPr anchor="t"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fldChar w:fldCharType="begin"/>
    </w:r>
    <w:r>
      <w:instrText xml:space="preserve">PAGE </w:instrText>
    </w:r>
    <w:r>
      <w:fldChar w:fldCharType="separate"/>
    </w:r>
    <w:r>
      <w:t xml:space="preserve"> </w:t>
    </w:r>
    <w:r>
      <w:fldChar w:fldCharType="end"/>
    </w:r>
  </w:p>
</w:hdr>
</file>

<file path=word/header5.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7000000">
    <w:pPr>
      <w:pStyle w:val="Style_1"/>
      <w:ind/>
      <w:jc w:val="center"/>
    </w:pPr>
  </w:p>
  <w:p w14:paraId="08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tabs>
          <w:tab w:leader="none" w:pos="0" w:val="left"/>
        </w:tabs>
        <w:ind w:hanging="360" w:left="1353"/>
      </w:pPr>
      <w:rPr>
        <w:color w:val="000000"/>
        <w:sz w:val="28"/>
      </w:rPr>
    </w:lvl>
    <w:lvl w:ilvl="1">
      <w:start w:val="1"/>
      <w:numFmt w:val="lowerLetter"/>
      <w:lvlText w:val="%2."/>
      <w:lvlJc w:val="left"/>
      <w:pPr>
        <w:tabs>
          <w:tab w:leader="none" w:pos="0" w:val="left"/>
        </w:tabs>
        <w:ind w:hanging="360" w:left="2149"/>
      </w:pPr>
    </w:lvl>
    <w:lvl w:ilvl="2">
      <w:start w:val="1"/>
      <w:numFmt w:val="lowerRoman"/>
      <w:lvlText w:val="%3."/>
      <w:lvlJc w:val="right"/>
      <w:pPr>
        <w:tabs>
          <w:tab w:leader="none" w:pos="0" w:val="left"/>
        </w:tabs>
        <w:ind w:hanging="180" w:left="2869"/>
      </w:pPr>
    </w:lvl>
    <w:lvl w:ilvl="3">
      <w:start w:val="1"/>
      <w:numFmt w:val="decimal"/>
      <w:lvlText w:val="%4."/>
      <w:lvlJc w:val="left"/>
      <w:pPr>
        <w:tabs>
          <w:tab w:leader="none" w:pos="0" w:val="left"/>
        </w:tabs>
        <w:ind w:hanging="360" w:left="3589"/>
      </w:pPr>
    </w:lvl>
    <w:lvl w:ilvl="4">
      <w:start w:val="1"/>
      <w:numFmt w:val="lowerLetter"/>
      <w:lvlText w:val="%5."/>
      <w:lvlJc w:val="left"/>
      <w:pPr>
        <w:tabs>
          <w:tab w:leader="none" w:pos="0" w:val="left"/>
        </w:tabs>
        <w:ind w:hanging="360" w:left="4309"/>
      </w:pPr>
    </w:lvl>
    <w:lvl w:ilvl="5">
      <w:start w:val="1"/>
      <w:numFmt w:val="lowerRoman"/>
      <w:lvlText w:val="%6."/>
      <w:lvlJc w:val="right"/>
      <w:pPr>
        <w:tabs>
          <w:tab w:leader="none" w:pos="0" w:val="left"/>
        </w:tabs>
        <w:ind w:hanging="180" w:left="5029"/>
      </w:pPr>
    </w:lvl>
    <w:lvl w:ilvl="6">
      <w:start w:val="1"/>
      <w:numFmt w:val="decimal"/>
      <w:lvlText w:val="%7."/>
      <w:lvlJc w:val="left"/>
      <w:pPr>
        <w:tabs>
          <w:tab w:leader="none" w:pos="0" w:val="left"/>
        </w:tabs>
        <w:ind w:hanging="360" w:left="5749"/>
      </w:pPr>
    </w:lvl>
    <w:lvl w:ilvl="7">
      <w:start w:val="1"/>
      <w:numFmt w:val="lowerLetter"/>
      <w:lvlText w:val="%8."/>
      <w:lvlJc w:val="left"/>
      <w:pPr>
        <w:tabs>
          <w:tab w:leader="none" w:pos="0" w:val="left"/>
        </w:tabs>
        <w:ind w:hanging="360" w:left="6469"/>
      </w:pPr>
    </w:lvl>
    <w:lvl w:ilvl="8">
      <w:start w:val="1"/>
      <w:numFmt w:val="lowerRoman"/>
      <w:lvlText w:val="%9."/>
      <w:lvlJc w:val="right"/>
      <w:pPr>
        <w:tabs>
          <w:tab w:leader="none" w:pos="0" w:val="left"/>
        </w:tabs>
        <w:ind w:hanging="180" w:left="7189"/>
      </w:pPr>
    </w:lvl>
  </w:abstractNum>
  <w:abstractNum w:abstractNumId="1">
    <w:lvl w:ilvl="0">
      <w:start w:val="1"/>
      <w:numFmt w:val="decimal"/>
      <w:lvlText w:val="%1)"/>
      <w:lvlJc w:val="left"/>
      <w:pPr>
        <w:tabs>
          <w:tab w:leader="none" w:pos="0" w:val="left"/>
        </w:tabs>
        <w:ind w:hanging="360" w:left="1260"/>
      </w:p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2">
    <w:lvl w:ilvl="0">
      <w:start w:val="1"/>
      <w:numFmt w:val="decimal"/>
      <w:lvlText w:val="%1)"/>
      <w:lvlJc w:val="left"/>
      <w:pPr>
        <w:tabs>
          <w:tab w:leader="none" w:pos="1260" w:val="left"/>
        </w:tabs>
        <w:ind w:hanging="360" w:left="1260"/>
      </w:pPr>
    </w:lvl>
    <w:lvl w:ilvl="1">
      <w:start w:val="1"/>
      <w:numFmt w:val="lowerLetter"/>
      <w:lvlText w:val="%2."/>
      <w:lvlJc w:val="left"/>
      <w:pPr>
        <w:tabs>
          <w:tab w:leader="none" w:pos="1980" w:val="left"/>
        </w:tabs>
        <w:ind w:hanging="360" w:left="1980"/>
      </w:pPr>
    </w:lvl>
    <w:lvl w:ilvl="2">
      <w:start w:val="1"/>
      <w:numFmt w:val="lowerRoman"/>
      <w:lvlText w:val="%3."/>
      <w:lvlJc w:val="right"/>
      <w:pPr>
        <w:tabs>
          <w:tab w:leader="none" w:pos="2700" w:val="left"/>
        </w:tabs>
        <w:ind w:hanging="180" w:left="2700"/>
      </w:pPr>
    </w:lvl>
    <w:lvl w:ilvl="3">
      <w:start w:val="1"/>
      <w:numFmt w:val="decimal"/>
      <w:lvlText w:val="%4."/>
      <w:lvlJc w:val="left"/>
      <w:pPr>
        <w:tabs>
          <w:tab w:leader="none" w:pos="3420" w:val="left"/>
        </w:tabs>
        <w:ind w:hanging="360" w:left="3420"/>
      </w:pPr>
    </w:lvl>
    <w:lvl w:ilvl="4">
      <w:start w:val="1"/>
      <w:numFmt w:val="lowerLetter"/>
      <w:lvlText w:val="%5."/>
      <w:lvlJc w:val="left"/>
      <w:pPr>
        <w:tabs>
          <w:tab w:leader="none" w:pos="4140" w:val="left"/>
        </w:tabs>
        <w:ind w:hanging="360" w:left="4140"/>
      </w:pPr>
    </w:lvl>
    <w:lvl w:ilvl="5">
      <w:start w:val="1"/>
      <w:numFmt w:val="lowerRoman"/>
      <w:lvlText w:val="%6."/>
      <w:lvlJc w:val="right"/>
      <w:pPr>
        <w:tabs>
          <w:tab w:leader="none" w:pos="4860" w:val="left"/>
        </w:tabs>
        <w:ind w:hanging="180" w:left="4860"/>
      </w:pPr>
    </w:lvl>
    <w:lvl w:ilvl="6">
      <w:start w:val="1"/>
      <w:numFmt w:val="decimal"/>
      <w:lvlText w:val="%7."/>
      <w:lvlJc w:val="left"/>
      <w:pPr>
        <w:tabs>
          <w:tab w:leader="none" w:pos="5580" w:val="left"/>
        </w:tabs>
        <w:ind w:hanging="360" w:left="5580"/>
      </w:pPr>
    </w:lvl>
    <w:lvl w:ilvl="7">
      <w:start w:val="1"/>
      <w:numFmt w:val="lowerLetter"/>
      <w:lvlText w:val="%8."/>
      <w:lvlJc w:val="left"/>
      <w:pPr>
        <w:tabs>
          <w:tab w:leader="none" w:pos="6300" w:val="left"/>
        </w:tabs>
        <w:ind w:hanging="360" w:left="6300"/>
      </w:pPr>
    </w:lvl>
    <w:lvl w:ilvl="8">
      <w:start w:val="1"/>
      <w:numFmt w:val="lowerRoman"/>
      <w:lvlText w:val="%9."/>
      <w:lvlJc w:val="right"/>
      <w:pPr>
        <w:tabs>
          <w:tab w:leader="none" w:pos="7020" w:val="left"/>
        </w:tabs>
        <w:ind w:hanging="180" w:left="7020"/>
      </w:pPr>
    </w:lvl>
  </w:abstractNum>
  <w:abstractNum w:abstractNumId="3">
    <w:lvl w:ilvl="0">
      <w:start w:val="1"/>
      <w:numFmt w:val="decimal"/>
      <w:lvlText w:val="%1)"/>
      <w:lvlJc w:val="left"/>
      <w:pPr>
        <w:tabs>
          <w:tab w:leader="none" w:pos="0" w:val="left"/>
        </w:tabs>
        <w:ind w:hanging="360" w:left="1260"/>
      </w:p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4">
    <w:lvl w:ilvl="0">
      <w:start w:val="1"/>
      <w:numFmt w:val="decimal"/>
      <w:lvlText w:val="%1)"/>
      <w:lvlJc w:val="left"/>
      <w:pPr>
        <w:tabs>
          <w:tab w:leader="none" w:pos="0" w:val="left"/>
        </w:tabs>
        <w:ind w:hanging="360" w:left="1260"/>
      </w:p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5">
    <w:lvl w:ilvl="0">
      <w:start w:val="1"/>
      <w:numFmt w:val="bullet"/>
      <w:lvlText w:val=""/>
      <w:lvlJc w:val="left"/>
      <w:pPr>
        <w:tabs>
          <w:tab w:leader="none" w:pos="0" w:val="left"/>
        </w:tabs>
        <w:ind w:hanging="360" w:left="1260"/>
      </w:pPr>
      <w:rPr>
        <w:rFonts w:ascii="Symbol" w:hAnsi="Symbol"/>
      </w:rPr>
    </w:lvl>
    <w:lvl w:ilvl="1">
      <w:start w:val="1"/>
      <w:numFmt w:val="bullet"/>
      <w:lvlText w:val="o"/>
      <w:lvlJc w:val="left"/>
      <w:pPr>
        <w:tabs>
          <w:tab w:leader="none" w:pos="0" w:val="left"/>
        </w:tabs>
        <w:ind w:hanging="360" w:left="1980"/>
      </w:pPr>
      <w:rPr>
        <w:rFonts w:ascii="Courier New" w:hAnsi="Courier New"/>
      </w:rPr>
    </w:lvl>
    <w:lvl w:ilvl="2">
      <w:start w:val="1"/>
      <w:numFmt w:val="bullet"/>
      <w:lvlText w:val=""/>
      <w:lvlJc w:val="left"/>
      <w:pPr>
        <w:tabs>
          <w:tab w:leader="none" w:pos="0" w:val="left"/>
        </w:tabs>
        <w:ind w:hanging="360" w:left="2700"/>
      </w:pPr>
      <w:rPr>
        <w:rFonts w:ascii="Wingdings" w:hAnsi="Wingdings"/>
      </w:rPr>
    </w:lvl>
    <w:lvl w:ilvl="3">
      <w:start w:val="1"/>
      <w:numFmt w:val="bullet"/>
      <w:lvlText w:val=""/>
      <w:lvlJc w:val="left"/>
      <w:pPr>
        <w:tabs>
          <w:tab w:leader="none" w:pos="0" w:val="left"/>
        </w:tabs>
        <w:ind w:hanging="360" w:left="3420"/>
      </w:pPr>
      <w:rPr>
        <w:rFonts w:ascii="Symbol" w:hAnsi="Symbol"/>
      </w:rPr>
    </w:lvl>
    <w:lvl w:ilvl="4">
      <w:start w:val="1"/>
      <w:numFmt w:val="bullet"/>
      <w:lvlText w:val="o"/>
      <w:lvlJc w:val="left"/>
      <w:pPr>
        <w:tabs>
          <w:tab w:leader="none" w:pos="0" w:val="left"/>
        </w:tabs>
        <w:ind w:hanging="360" w:left="4140"/>
      </w:pPr>
      <w:rPr>
        <w:rFonts w:ascii="Courier New" w:hAnsi="Courier New"/>
      </w:rPr>
    </w:lvl>
    <w:lvl w:ilvl="5">
      <w:start w:val="1"/>
      <w:numFmt w:val="bullet"/>
      <w:lvlText w:val=""/>
      <w:lvlJc w:val="left"/>
      <w:pPr>
        <w:tabs>
          <w:tab w:leader="none" w:pos="0" w:val="left"/>
        </w:tabs>
        <w:ind w:hanging="360" w:left="4860"/>
      </w:pPr>
      <w:rPr>
        <w:rFonts w:ascii="Wingdings" w:hAnsi="Wingdings"/>
      </w:rPr>
    </w:lvl>
    <w:lvl w:ilvl="6">
      <w:start w:val="1"/>
      <w:numFmt w:val="bullet"/>
      <w:lvlText w:val=""/>
      <w:lvlJc w:val="left"/>
      <w:pPr>
        <w:tabs>
          <w:tab w:leader="none" w:pos="0" w:val="left"/>
        </w:tabs>
        <w:ind w:hanging="360" w:left="5580"/>
      </w:pPr>
      <w:rPr>
        <w:rFonts w:ascii="Symbol" w:hAnsi="Symbol"/>
      </w:rPr>
    </w:lvl>
    <w:lvl w:ilvl="7">
      <w:start w:val="1"/>
      <w:numFmt w:val="bullet"/>
      <w:lvlText w:val="o"/>
      <w:lvlJc w:val="left"/>
      <w:pPr>
        <w:tabs>
          <w:tab w:leader="none" w:pos="0" w:val="left"/>
        </w:tabs>
        <w:ind w:hanging="360" w:left="6300"/>
      </w:pPr>
      <w:rPr>
        <w:rFonts w:ascii="Courier New" w:hAnsi="Courier New"/>
      </w:rPr>
    </w:lvl>
    <w:lvl w:ilvl="8">
      <w:start w:val="1"/>
      <w:numFmt w:val="bullet"/>
      <w:lvlText w:val=""/>
      <w:lvlJc w:val="left"/>
      <w:pPr>
        <w:tabs>
          <w:tab w:leader="none" w:pos="0" w:val="left"/>
        </w:tabs>
        <w:ind w:hanging="360" w:left="7020"/>
      </w:pPr>
      <w:rPr>
        <w:rFonts w:ascii="Wingdings" w:hAnsi="Wingdings"/>
      </w:rPr>
    </w:lvl>
  </w:abstractNum>
  <w:abstractNum w:abstractNumId="6">
    <w:lvl w:ilvl="0">
      <w:start w:val="1"/>
      <w:numFmt w:val="decimal"/>
      <w:lvlText w:val="%1)"/>
      <w:lvlJc w:val="left"/>
      <w:pPr>
        <w:tabs>
          <w:tab w:leader="none" w:pos="0" w:val="left"/>
        </w:tabs>
        <w:ind w:hanging="360" w:left="1260"/>
      </w:p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7">
    <w:lvl w:ilvl="0">
      <w:start w:val="1"/>
      <w:numFmt w:val="decimal"/>
      <w:lvlText w:val="%1)"/>
      <w:lvlJc w:val="left"/>
      <w:pPr>
        <w:tabs>
          <w:tab w:leader="none" w:pos="0" w:val="left"/>
        </w:tabs>
        <w:ind w:hanging="360" w:left="1260"/>
      </w:p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8">
    <w:lvl w:ilvl="0">
      <w:numFmt w:val="bullet"/>
      <w:lvlText w:val="-"/>
      <w:pPr>
        <w:ind w:hanging="360" w:left="720"/>
      </w:pPr>
      <w:rPr>
        <w:rFonts w:ascii="Calibri" w:hAnsi="Calibri"/>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Calibri" w:hAnsi="Calibri"/>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Calibri" w:hAnsi="Calibri"/>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9">
    <w:lvl w:ilvl="0">
      <w:numFmt w:val="bullet"/>
      <w:lvlText w:val="-"/>
      <w:pPr>
        <w:ind w:hanging="360" w:left="720"/>
      </w:pPr>
      <w:rPr>
        <w:rFonts w:ascii="Calibri" w:hAnsi="Calibri"/>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Calibri" w:hAnsi="Calibri"/>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Calibri" w:hAnsi="Calibri"/>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0">
    <w:lvl w:ilvl="0">
      <w:numFmt w:val="bullet"/>
      <w:lvlText w:val="-"/>
      <w:pPr>
        <w:ind w:hanging="360" w:left="720"/>
      </w:pPr>
      <w:rPr>
        <w:rFonts w:ascii="Calibri" w:hAnsi="Calibri"/>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Calibri" w:hAnsi="Calibri"/>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Calibri" w:hAnsi="Calibri"/>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1">
    <w:lvl w:ilvl="0">
      <w:start w:val="1"/>
      <w:numFmt w:val="bullet"/>
      <w:lvlText w:val=""/>
      <w:lvlJc w:val="left"/>
      <w:pPr>
        <w:tabs>
          <w:tab w:leader="none" w:pos="1968" w:val="left"/>
        </w:tabs>
        <w:ind w:hanging="360" w:left="1968"/>
      </w:pPr>
      <w:rPr>
        <w:rFonts w:ascii="Symbol" w:hAnsi="Symbol"/>
      </w:rPr>
    </w:lvl>
    <w:lvl w:ilvl="1">
      <w:start w:val="1"/>
      <w:numFmt w:val="bullet"/>
      <w:lvlText w:val="o"/>
      <w:lvlJc w:val="left"/>
      <w:pPr>
        <w:tabs>
          <w:tab w:leader="none" w:pos="2148" w:val="left"/>
        </w:tabs>
        <w:ind w:hanging="360" w:left="2148"/>
      </w:pPr>
      <w:rPr>
        <w:rFonts w:ascii="Courier New" w:hAnsi="Courier New"/>
      </w:rPr>
    </w:lvl>
    <w:lvl w:ilvl="2">
      <w:start w:val="1"/>
      <w:numFmt w:val="bullet"/>
      <w:lvlText w:val=""/>
      <w:lvlJc w:val="left"/>
      <w:pPr>
        <w:tabs>
          <w:tab w:leader="none" w:pos="2868" w:val="left"/>
        </w:tabs>
        <w:ind w:hanging="360" w:left="2868"/>
      </w:pPr>
      <w:rPr>
        <w:rFonts w:ascii="Wingdings" w:hAnsi="Wingdings"/>
      </w:rPr>
    </w:lvl>
    <w:lvl w:ilvl="3">
      <w:start w:val="1"/>
      <w:numFmt w:val="bullet"/>
      <w:lvlText w:val=""/>
      <w:lvlJc w:val="left"/>
      <w:pPr>
        <w:tabs>
          <w:tab w:leader="none" w:pos="3588" w:val="left"/>
        </w:tabs>
        <w:ind w:hanging="360" w:left="3588"/>
      </w:pPr>
      <w:rPr>
        <w:rFonts w:ascii="Symbol" w:hAnsi="Symbol"/>
      </w:rPr>
    </w:lvl>
    <w:lvl w:ilvl="4">
      <w:start w:val="1"/>
      <w:numFmt w:val="bullet"/>
      <w:lvlText w:val="o"/>
      <w:lvlJc w:val="left"/>
      <w:pPr>
        <w:tabs>
          <w:tab w:leader="none" w:pos="4308" w:val="left"/>
        </w:tabs>
        <w:ind w:hanging="360" w:left="4308"/>
      </w:pPr>
      <w:rPr>
        <w:rFonts w:ascii="Courier New" w:hAnsi="Courier New"/>
      </w:rPr>
    </w:lvl>
    <w:lvl w:ilvl="5">
      <w:start w:val="1"/>
      <w:numFmt w:val="bullet"/>
      <w:lvlText w:val=""/>
      <w:lvlJc w:val="left"/>
      <w:pPr>
        <w:tabs>
          <w:tab w:leader="none" w:pos="5028" w:val="left"/>
        </w:tabs>
        <w:ind w:hanging="360" w:left="5028"/>
      </w:pPr>
      <w:rPr>
        <w:rFonts w:ascii="Wingdings" w:hAnsi="Wingdings"/>
      </w:rPr>
    </w:lvl>
    <w:lvl w:ilvl="6">
      <w:start w:val="1"/>
      <w:numFmt w:val="bullet"/>
      <w:lvlText w:val=""/>
      <w:lvlJc w:val="left"/>
      <w:pPr>
        <w:tabs>
          <w:tab w:leader="none" w:pos="5748" w:val="left"/>
        </w:tabs>
        <w:ind w:hanging="360" w:left="5748"/>
      </w:pPr>
      <w:rPr>
        <w:rFonts w:ascii="Symbol" w:hAnsi="Symbol"/>
      </w:rPr>
    </w:lvl>
    <w:lvl w:ilvl="7">
      <w:start w:val="1"/>
      <w:numFmt w:val="bullet"/>
      <w:lvlText w:val="o"/>
      <w:lvlJc w:val="left"/>
      <w:pPr>
        <w:tabs>
          <w:tab w:leader="none" w:pos="6468" w:val="left"/>
        </w:tabs>
        <w:ind w:hanging="360" w:left="6468"/>
      </w:pPr>
      <w:rPr>
        <w:rFonts w:ascii="Courier New" w:hAnsi="Courier New"/>
      </w:rPr>
    </w:lvl>
    <w:lvl w:ilvl="8">
      <w:start w:val="1"/>
      <w:numFmt w:val="bullet"/>
      <w:lvlText w:val=""/>
      <w:lvlJc w:val="left"/>
      <w:pPr>
        <w:tabs>
          <w:tab w:leader="none" w:pos="7188" w:val="left"/>
        </w:tabs>
        <w:ind w:hanging="360" w:left="7188"/>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pPr>
      <w:widowControl w:val="1"/>
      <w:spacing w:after="0" w:before="0" w:line="240" w:lineRule="auto"/>
      <w:ind w:firstLine="0" w:left="0" w:right="0"/>
      <w:jc w:val="left"/>
    </w:pPr>
    <w:rPr>
      <w:rFonts w:ascii="Times New Roman" w:hAnsi="Times New Roman"/>
      <w:color w:val="000000"/>
      <w:spacing w:val="0"/>
      <w:sz w:val="24"/>
    </w:rPr>
  </w:style>
  <w:style w:default="1" w:styleId="Style_2_ch" w:type="character">
    <w:name w:val="Normal"/>
    <w:link w:val="Style_2"/>
    <w:rPr>
      <w:rFonts w:ascii="Times New Roman" w:hAnsi="Times New Roman"/>
      <w:color w:val="000000"/>
      <w:spacing w:val="0"/>
      <w:sz w:val="24"/>
    </w:rPr>
  </w:style>
  <w:style w:styleId="Style_7" w:type="paragraph">
    <w:name w:val="toc 2"/>
    <w:next w:val="Style_2"/>
    <w:link w:val="Style_7_ch"/>
    <w:uiPriority w:val="39"/>
    <w:pPr>
      <w:widowControl w:val="1"/>
      <w:spacing w:after="0" w:before="0" w:line="240" w:lineRule="auto"/>
      <w:ind w:firstLine="0" w:left="200" w:right="0"/>
      <w:jc w:val="left"/>
    </w:pPr>
    <w:rPr>
      <w:rFonts w:ascii="XO Thames" w:hAnsi="XO Thames"/>
      <w:color w:val="000000"/>
      <w:spacing w:val="0"/>
      <w:sz w:val="28"/>
    </w:rPr>
  </w:style>
  <w:style w:styleId="Style_7_ch" w:type="character">
    <w:name w:val="toc 2"/>
    <w:link w:val="Style_7"/>
    <w:rPr>
      <w:rFonts w:ascii="XO Thames" w:hAnsi="XO Thames"/>
      <w:color w:val="000000"/>
      <w:spacing w:val="0"/>
      <w:sz w:val="28"/>
    </w:rPr>
  </w:style>
  <w:style w:styleId="Style_8" w:type="paragraph">
    <w:name w:val="Title"/>
    <w:link w:val="Style_8_ch"/>
    <w:rPr>
      <w:rFonts w:ascii="XO Thames" w:hAnsi="XO Thames"/>
      <w:b w:val="1"/>
      <w:caps w:val="1"/>
      <w:sz w:val="40"/>
    </w:rPr>
  </w:style>
  <w:style w:styleId="Style_8_ch" w:type="character">
    <w:name w:val="Title"/>
    <w:link w:val="Style_8"/>
    <w:rPr>
      <w:rFonts w:ascii="XO Thames" w:hAnsi="XO Thames"/>
      <w:b w:val="1"/>
      <w:caps w:val="1"/>
      <w:sz w:val="40"/>
    </w:rPr>
  </w:style>
  <w:style w:styleId="Style_9" w:type="paragraph">
    <w:name w:val="caption"/>
    <w:basedOn w:val="Style_2"/>
    <w:link w:val="Style_9_ch"/>
    <w:pPr>
      <w:spacing w:after="120" w:before="120"/>
      <w:ind/>
    </w:pPr>
    <w:rPr>
      <w:i w:val="1"/>
    </w:rPr>
  </w:style>
  <w:style w:styleId="Style_9_ch" w:type="character">
    <w:name w:val="caption"/>
    <w:basedOn w:val="Style_2_ch"/>
    <w:link w:val="Style_9"/>
    <w:rPr>
      <w:i w:val="1"/>
    </w:rPr>
  </w:style>
  <w:style w:styleId="Style_10" w:type="paragraph">
    <w:name w:val="toc 4"/>
    <w:next w:val="Style_2"/>
    <w:link w:val="Style_10_ch"/>
    <w:uiPriority w:val="39"/>
    <w:pPr>
      <w:widowControl w:val="1"/>
      <w:spacing w:after="0" w:before="0" w:line="240" w:lineRule="auto"/>
      <w:ind w:firstLine="0" w:left="600" w:right="0"/>
      <w:jc w:val="left"/>
    </w:pPr>
    <w:rPr>
      <w:rFonts w:ascii="XO Thames" w:hAnsi="XO Thames"/>
      <w:color w:val="000000"/>
      <w:spacing w:val="0"/>
      <w:sz w:val="28"/>
    </w:rPr>
  </w:style>
  <w:style w:styleId="Style_10_ch" w:type="character">
    <w:name w:val="toc 4"/>
    <w:link w:val="Style_10"/>
    <w:rPr>
      <w:rFonts w:ascii="XO Thames" w:hAnsi="XO Thames"/>
      <w:color w:val="000000"/>
      <w:spacing w:val="0"/>
      <w:sz w:val="28"/>
    </w:rPr>
  </w:style>
  <w:style w:styleId="Style_11" w:type="paragraph">
    <w:name w:val="Body Text 3"/>
    <w:basedOn w:val="Style_2"/>
    <w:link w:val="Style_11_ch"/>
    <w:pPr>
      <w:ind/>
      <w:jc w:val="both"/>
    </w:pPr>
  </w:style>
  <w:style w:styleId="Style_11_ch" w:type="character">
    <w:name w:val="Body Text 3"/>
    <w:basedOn w:val="Style_2_ch"/>
    <w:link w:val="Style_11"/>
  </w:style>
  <w:style w:styleId="Style_12" w:type="paragraph">
    <w:name w:val="Header"/>
    <w:link w:val="Style_12_ch"/>
  </w:style>
  <w:style w:styleId="Style_12_ch" w:type="character">
    <w:name w:val="Header"/>
    <w:link w:val="Style_12"/>
  </w:style>
  <w:style w:styleId="Style_13" w:type="paragraph">
    <w:name w:val="Footer"/>
    <w:link w:val="Style_13_ch"/>
  </w:style>
  <w:style w:styleId="Style_13_ch" w:type="character">
    <w:name w:val="Footer"/>
    <w:link w:val="Style_13"/>
  </w:style>
  <w:style w:styleId="Style_14" w:type="paragraph">
    <w:name w:val="Заголовок 2 Знак"/>
    <w:link w:val="Style_14_ch"/>
    <w:pPr>
      <w:widowControl w:val="1"/>
      <w:spacing w:after="0" w:before="0" w:line="240" w:lineRule="auto"/>
      <w:ind w:firstLine="0" w:left="0" w:right="0"/>
      <w:jc w:val="left"/>
    </w:pPr>
    <w:rPr>
      <w:rFonts w:ascii="Arial" w:hAnsi="Arial"/>
      <w:b w:val="1"/>
      <w:i w:val="1"/>
      <w:color w:val="000000"/>
      <w:spacing w:val="0"/>
      <w:sz w:val="28"/>
    </w:rPr>
  </w:style>
  <w:style w:styleId="Style_14_ch" w:type="character">
    <w:name w:val="Заголовок 2 Знак"/>
    <w:link w:val="Style_14"/>
    <w:rPr>
      <w:rFonts w:ascii="Arial" w:hAnsi="Arial"/>
      <w:b w:val="1"/>
      <w:i w:val="1"/>
      <w:color w:val="000000"/>
      <w:spacing w:val="0"/>
      <w:sz w:val="28"/>
    </w:rPr>
  </w:style>
  <w:style w:styleId="Style_15" w:type="paragraph">
    <w:name w:val="toc 6"/>
    <w:next w:val="Style_2"/>
    <w:link w:val="Style_15_ch"/>
    <w:uiPriority w:val="39"/>
    <w:pPr>
      <w:widowControl w:val="1"/>
      <w:spacing w:after="0" w:before="0" w:line="240" w:lineRule="auto"/>
      <w:ind w:firstLine="0" w:left="1000" w:right="0"/>
      <w:jc w:val="left"/>
    </w:pPr>
    <w:rPr>
      <w:rFonts w:ascii="XO Thames" w:hAnsi="XO Thames"/>
      <w:color w:val="000000"/>
      <w:spacing w:val="0"/>
      <w:sz w:val="28"/>
    </w:rPr>
  </w:style>
  <w:style w:styleId="Style_15_ch" w:type="character">
    <w:name w:val="toc 6"/>
    <w:link w:val="Style_15"/>
    <w:rPr>
      <w:rFonts w:ascii="XO Thames" w:hAnsi="XO Thames"/>
      <w:color w:val="000000"/>
      <w:spacing w:val="0"/>
      <w:sz w:val="28"/>
    </w:rPr>
  </w:style>
  <w:style w:styleId="Style_16" w:type="paragraph">
    <w:name w:val="Знак1"/>
    <w:basedOn w:val="Style_2"/>
    <w:link w:val="Style_16_ch"/>
    <w:pPr>
      <w:spacing w:after="160" w:before="0" w:line="240" w:lineRule="exact"/>
      <w:ind/>
    </w:pPr>
    <w:rPr>
      <w:rFonts w:ascii="Verdana" w:hAnsi="Verdana"/>
      <w:sz w:val="20"/>
    </w:rPr>
  </w:style>
  <w:style w:styleId="Style_16_ch" w:type="character">
    <w:name w:val="Знак1"/>
    <w:basedOn w:val="Style_2_ch"/>
    <w:link w:val="Style_16"/>
    <w:rPr>
      <w:rFonts w:ascii="Verdana" w:hAnsi="Verdana"/>
      <w:sz w:val="20"/>
    </w:rPr>
  </w:style>
  <w:style w:styleId="Style_17" w:type="paragraph">
    <w:name w:val="toc 7"/>
    <w:next w:val="Style_2"/>
    <w:link w:val="Style_17_ch"/>
    <w:uiPriority w:val="39"/>
    <w:pPr>
      <w:widowControl w:val="1"/>
      <w:spacing w:after="0" w:before="0" w:line="240" w:lineRule="auto"/>
      <w:ind w:firstLine="0" w:left="1200" w:right="0"/>
      <w:jc w:val="left"/>
    </w:pPr>
    <w:rPr>
      <w:rFonts w:ascii="XO Thames" w:hAnsi="XO Thames"/>
      <w:color w:val="000000"/>
      <w:spacing w:val="0"/>
      <w:sz w:val="28"/>
    </w:rPr>
  </w:style>
  <w:style w:styleId="Style_17_ch" w:type="character">
    <w:name w:val="toc 7"/>
    <w:link w:val="Style_17"/>
    <w:rPr>
      <w:rFonts w:ascii="XO Thames" w:hAnsi="XO Thames"/>
      <w:color w:val="000000"/>
      <w:spacing w:val="0"/>
      <w:sz w:val="28"/>
    </w:rPr>
  </w:style>
  <w:style w:styleId="Style_18" w:type="paragraph">
    <w:name w:val="heading 2"/>
    <w:basedOn w:val="Style_2"/>
    <w:next w:val="Style_2"/>
    <w:link w:val="Style_18_ch"/>
    <w:pPr>
      <w:keepNext w:val="1"/>
      <w:spacing w:after="60" w:before="240"/>
      <w:ind/>
      <w:outlineLvl w:val="1"/>
    </w:pPr>
    <w:rPr>
      <w:rFonts w:ascii="Arial" w:hAnsi="Arial"/>
      <w:b w:val="1"/>
      <w:i w:val="1"/>
      <w:sz w:val="28"/>
    </w:rPr>
  </w:style>
  <w:style w:styleId="Style_18_ch" w:type="character">
    <w:name w:val="heading 2"/>
    <w:basedOn w:val="Style_2_ch"/>
    <w:link w:val="Style_18"/>
    <w:rPr>
      <w:rFonts w:ascii="Arial" w:hAnsi="Arial"/>
      <w:b w:val="1"/>
      <w:i w:val="1"/>
      <w:sz w:val="28"/>
    </w:rPr>
  </w:style>
  <w:style w:styleId="Style_19" w:type="paragraph">
    <w:name w:val="Balloon Text"/>
    <w:basedOn w:val="Style_2"/>
    <w:link w:val="Style_19_ch"/>
    <w:rPr>
      <w:rFonts w:ascii="Tahoma" w:hAnsi="Tahoma"/>
      <w:sz w:val="16"/>
    </w:rPr>
  </w:style>
  <w:style w:styleId="Style_19_ch" w:type="character">
    <w:name w:val="Balloon Text"/>
    <w:basedOn w:val="Style_2_ch"/>
    <w:link w:val="Style_19"/>
    <w:rPr>
      <w:rFonts w:ascii="Tahoma" w:hAnsi="Tahoma"/>
      <w:sz w:val="16"/>
    </w:rPr>
  </w:style>
  <w:style w:styleId="Style_20" w:type="paragraph">
    <w:name w:val="Body Text Indent"/>
    <w:basedOn w:val="Style_2"/>
    <w:link w:val="Style_20_ch"/>
    <w:pPr>
      <w:spacing w:after="120" w:before="0"/>
      <w:ind w:firstLine="0" w:left="283" w:right="0"/>
    </w:pPr>
  </w:style>
  <w:style w:styleId="Style_20_ch" w:type="character">
    <w:name w:val="Body Text Indent"/>
    <w:basedOn w:val="Style_2_ch"/>
    <w:link w:val="Style_20"/>
  </w:style>
  <w:style w:styleId="Style_21" w:type="paragraph">
    <w:name w:val="heading 3"/>
    <w:next w:val="Style_2"/>
    <w:link w:val="Style_21_ch"/>
    <w:uiPriority w:val="9"/>
    <w:qFormat/>
    <w:pPr>
      <w:widowControl w:val="1"/>
      <w:spacing w:after="0" w:before="0" w:line="240" w:lineRule="auto"/>
      <w:ind w:firstLine="0" w:left="0" w:right="0"/>
      <w:jc w:val="left"/>
      <w:outlineLvl w:val="2"/>
    </w:pPr>
    <w:rPr>
      <w:rFonts w:asciiTheme="majorAscii" w:hAnsiTheme="majorHAnsi"/>
      <w:b w:val="1"/>
      <w:color w:themeColor="accent1" w:val="4F81BD"/>
      <w:spacing w:val="0"/>
      <w:sz w:val="20"/>
    </w:rPr>
  </w:style>
  <w:style w:styleId="Style_21_ch" w:type="character">
    <w:name w:val="heading 3"/>
    <w:link w:val="Style_21"/>
    <w:rPr>
      <w:rFonts w:asciiTheme="majorAscii" w:hAnsiTheme="majorHAnsi"/>
      <w:b w:val="1"/>
      <w:color w:themeColor="accent1" w:val="4F81BD"/>
      <w:spacing w:val="0"/>
      <w:sz w:val="20"/>
    </w:rPr>
  </w:style>
  <w:style w:styleId="Style_22" w:type="paragraph">
    <w:name w:val="Содержимое таблицы"/>
    <w:basedOn w:val="Style_2"/>
    <w:link w:val="Style_22_ch"/>
    <w:pPr>
      <w:widowControl w:val="0"/>
      <w:ind/>
    </w:pPr>
  </w:style>
  <w:style w:styleId="Style_22_ch" w:type="character">
    <w:name w:val="Содержимое таблицы"/>
    <w:basedOn w:val="Style_2_ch"/>
    <w:link w:val="Style_22"/>
  </w:style>
  <w:style w:styleId="Style_23" w:type="paragraph">
    <w:name w:val="Текст сноски Знак"/>
    <w:link w:val="Style_23_ch"/>
    <w:pPr>
      <w:widowControl w:val="1"/>
      <w:spacing w:after="0" w:before="0" w:line="240" w:lineRule="auto"/>
      <w:ind w:firstLine="0" w:left="0" w:right="0"/>
      <w:jc w:val="left"/>
    </w:pPr>
    <w:rPr>
      <w:rFonts w:ascii="Times New Roman" w:hAnsi="Times New Roman"/>
      <w:color w:val="000000"/>
      <w:spacing w:val="0"/>
      <w:sz w:val="20"/>
    </w:rPr>
  </w:style>
  <w:style w:styleId="Style_23_ch" w:type="character">
    <w:name w:val="Текст сноски Знак"/>
    <w:link w:val="Style_23"/>
    <w:rPr>
      <w:rFonts w:ascii="Times New Roman" w:hAnsi="Times New Roman"/>
      <w:color w:val="000000"/>
      <w:spacing w:val="0"/>
      <w:sz w:val="20"/>
    </w:rPr>
  </w:style>
  <w:style w:styleId="Style_24" w:type="paragraph">
    <w:name w:val="Колонтитул"/>
    <w:link w:val="Style_24_ch"/>
    <w:pPr>
      <w:widowControl w:val="1"/>
      <w:spacing w:after="0" w:before="0" w:line="240" w:lineRule="auto"/>
      <w:ind w:firstLine="0" w:left="0" w:right="0"/>
      <w:jc w:val="left"/>
    </w:pPr>
    <w:rPr>
      <w:rFonts w:ascii="XO Thames" w:hAnsi="XO Thames"/>
      <w:color w:val="000000"/>
      <w:spacing w:val="0"/>
      <w:sz w:val="20"/>
    </w:rPr>
  </w:style>
  <w:style w:styleId="Style_24_ch" w:type="character">
    <w:name w:val="Колонтитул"/>
    <w:link w:val="Style_24"/>
    <w:rPr>
      <w:rFonts w:ascii="XO Thames" w:hAnsi="XO Thames"/>
      <w:color w:val="000000"/>
      <w:spacing w:val="0"/>
      <w:sz w:val="20"/>
    </w:rPr>
  </w:style>
  <w:style w:styleId="Style_25" w:type="paragraph">
    <w:name w:val="FR1"/>
    <w:link w:val="Style_25_ch"/>
    <w:pPr>
      <w:widowControl w:val="0"/>
      <w:spacing w:after="0" w:before="3960" w:line="300" w:lineRule="auto"/>
      <w:ind w:firstLine="0" w:left="0" w:right="0"/>
      <w:jc w:val="center"/>
    </w:pPr>
    <w:rPr>
      <w:rFonts w:ascii="Times New Roman" w:hAnsi="Times New Roman"/>
      <w:b w:val="1"/>
      <w:color w:val="000000"/>
      <w:spacing w:val="0"/>
      <w:sz w:val="56"/>
    </w:rPr>
  </w:style>
  <w:style w:styleId="Style_25_ch" w:type="character">
    <w:name w:val="FR1"/>
    <w:link w:val="Style_25"/>
    <w:rPr>
      <w:rFonts w:ascii="Times New Roman" w:hAnsi="Times New Roman"/>
      <w:b w:val="1"/>
      <w:color w:val="000000"/>
      <w:spacing w:val="0"/>
      <w:sz w:val="56"/>
    </w:rPr>
  </w:style>
  <w:style w:styleId="Style_26" w:type="paragraph">
    <w:name w:val="Гиперссылка1"/>
    <w:link w:val="Style_26_ch"/>
    <w:pPr>
      <w:widowControl w:val="1"/>
      <w:spacing w:after="0" w:before="0" w:line="240" w:lineRule="auto"/>
      <w:ind w:firstLine="0" w:left="0" w:right="0"/>
      <w:jc w:val="left"/>
    </w:pPr>
    <w:rPr>
      <w:rFonts w:ascii="Times New Roman" w:hAnsi="Times New Roman"/>
      <w:color w:val="0000FF"/>
      <w:spacing w:val="0"/>
      <w:sz w:val="20"/>
      <w:u w:val="single"/>
    </w:rPr>
  </w:style>
  <w:style w:styleId="Style_26_ch" w:type="character">
    <w:name w:val="Гиперссылка1"/>
    <w:link w:val="Style_26"/>
    <w:rPr>
      <w:rFonts w:ascii="Times New Roman" w:hAnsi="Times New Roman"/>
      <w:color w:val="0000FF"/>
      <w:spacing w:val="0"/>
      <w:sz w:val="20"/>
      <w:u w:val="single"/>
    </w:rPr>
  </w:style>
  <w:style w:styleId="Style_27" w:type="paragraph">
    <w:name w:val="Text body"/>
    <w:link w:val="Style_27_ch"/>
    <w:pPr>
      <w:widowControl w:val="1"/>
      <w:spacing w:after="0" w:before="0" w:line="240" w:lineRule="auto"/>
      <w:ind w:firstLine="0" w:left="0" w:right="0"/>
      <w:jc w:val="left"/>
    </w:pPr>
    <w:rPr>
      <w:rFonts w:ascii="Times New Roman" w:hAnsi="Times New Roman"/>
      <w:b w:val="1"/>
      <w:color w:val="000000"/>
      <w:spacing w:val="0"/>
      <w:sz w:val="20"/>
    </w:rPr>
  </w:style>
  <w:style w:styleId="Style_27_ch" w:type="character">
    <w:name w:val="Text body"/>
    <w:link w:val="Style_27"/>
    <w:rPr>
      <w:rFonts w:ascii="Times New Roman" w:hAnsi="Times New Roman"/>
      <w:b w:val="1"/>
      <w:color w:val="000000"/>
      <w:spacing w:val="0"/>
      <w:sz w:val="20"/>
    </w:rPr>
  </w:style>
  <w:style w:styleId="Style_28" w:type="paragraph">
    <w:name w:val="Contents 1"/>
    <w:link w:val="Style_28_ch"/>
    <w:pPr>
      <w:widowControl w:val="1"/>
      <w:spacing w:after="0" w:before="0" w:line="240" w:lineRule="auto"/>
      <w:ind w:firstLine="0" w:left="0" w:right="0"/>
      <w:jc w:val="left"/>
    </w:pPr>
    <w:rPr>
      <w:rFonts w:ascii="XO Thames" w:hAnsi="XO Thames"/>
      <w:b w:val="1"/>
      <w:color w:val="000000"/>
      <w:spacing w:val="0"/>
      <w:sz w:val="28"/>
    </w:rPr>
  </w:style>
  <w:style w:styleId="Style_28_ch" w:type="character">
    <w:name w:val="Contents 1"/>
    <w:link w:val="Style_28"/>
    <w:rPr>
      <w:rFonts w:ascii="XO Thames" w:hAnsi="XO Thames"/>
      <w:b w:val="1"/>
      <w:color w:val="000000"/>
      <w:spacing w:val="0"/>
      <w:sz w:val="28"/>
    </w:rPr>
  </w:style>
  <w:style w:styleId="Style_29" w:type="paragraph">
    <w:name w:val="Contents 9"/>
    <w:link w:val="Style_29_ch"/>
    <w:pPr>
      <w:widowControl w:val="1"/>
      <w:spacing w:after="0" w:before="0" w:line="240" w:lineRule="auto"/>
      <w:ind w:firstLine="0" w:left="0" w:right="0"/>
      <w:jc w:val="left"/>
    </w:pPr>
    <w:rPr>
      <w:rFonts w:ascii="XO Thames" w:hAnsi="XO Thames"/>
      <w:color w:val="000000"/>
      <w:spacing w:val="0"/>
      <w:sz w:val="28"/>
    </w:rPr>
  </w:style>
  <w:style w:styleId="Style_29_ch" w:type="character">
    <w:name w:val="Contents 9"/>
    <w:link w:val="Style_29"/>
    <w:rPr>
      <w:rFonts w:ascii="XO Thames" w:hAnsi="XO Thames"/>
      <w:color w:val="000000"/>
      <w:spacing w:val="0"/>
      <w:sz w:val="28"/>
    </w:rPr>
  </w:style>
  <w:style w:styleId="Style_30" w:type="paragraph">
    <w:name w:val="Default"/>
    <w:link w:val="Style_30_ch"/>
    <w:pPr>
      <w:widowControl w:val="1"/>
      <w:spacing w:after="0" w:before="0" w:line="240" w:lineRule="auto"/>
      <w:ind w:firstLine="0" w:left="0" w:right="0"/>
      <w:jc w:val="left"/>
    </w:pPr>
    <w:rPr>
      <w:rFonts w:ascii="Times New Roman" w:hAnsi="Times New Roman"/>
      <w:color w:val="000000"/>
      <w:spacing w:val="0"/>
      <w:sz w:val="24"/>
    </w:rPr>
  </w:style>
  <w:style w:styleId="Style_30_ch" w:type="character">
    <w:name w:val="Default"/>
    <w:link w:val="Style_30"/>
    <w:rPr>
      <w:rFonts w:ascii="Times New Roman" w:hAnsi="Times New Roman"/>
      <w:color w:val="000000"/>
      <w:spacing w:val="0"/>
      <w:sz w:val="24"/>
    </w:rPr>
  </w:style>
  <w:style w:styleId="Style_31" w:type="paragraph">
    <w:name w:val="Номер страницы1"/>
    <w:basedOn w:val="Style_32"/>
    <w:link w:val="Style_31_ch"/>
  </w:style>
  <w:style w:styleId="Style_31_ch" w:type="character">
    <w:name w:val="Номер страницы1"/>
    <w:basedOn w:val="Style_32_ch"/>
    <w:link w:val="Style_31"/>
  </w:style>
  <w:style w:styleId="Style_33" w:type="paragraph">
    <w:name w:val="Contents 5"/>
    <w:link w:val="Style_33_ch"/>
    <w:pPr>
      <w:widowControl w:val="1"/>
      <w:spacing w:after="0" w:before="0" w:line="240" w:lineRule="auto"/>
      <w:ind w:firstLine="0" w:left="0" w:right="0"/>
      <w:jc w:val="left"/>
    </w:pPr>
    <w:rPr>
      <w:rFonts w:ascii="XO Thames" w:hAnsi="XO Thames"/>
      <w:color w:val="000000"/>
      <w:spacing w:val="0"/>
      <w:sz w:val="28"/>
    </w:rPr>
  </w:style>
  <w:style w:styleId="Style_33_ch" w:type="character">
    <w:name w:val="Contents 5"/>
    <w:link w:val="Style_33"/>
    <w:rPr>
      <w:rFonts w:ascii="XO Thames" w:hAnsi="XO Thames"/>
      <w:color w:val="000000"/>
      <w:spacing w:val="0"/>
      <w:sz w:val="28"/>
    </w:rPr>
  </w:style>
  <w:style w:styleId="Style_34" w:type="paragraph">
    <w:name w:val="Знак сноски1"/>
    <w:link w:val="Style_34_ch"/>
    <w:pPr>
      <w:widowControl w:val="1"/>
      <w:spacing w:after="0" w:before="0" w:line="240" w:lineRule="auto"/>
      <w:ind w:firstLine="0" w:left="0" w:right="0"/>
      <w:jc w:val="left"/>
    </w:pPr>
    <w:rPr>
      <w:rFonts w:ascii="Times New Roman" w:hAnsi="Times New Roman"/>
      <w:color w:val="000000"/>
      <w:spacing w:val="0"/>
      <w:sz w:val="20"/>
      <w:vertAlign w:val="superscript"/>
    </w:rPr>
  </w:style>
  <w:style w:styleId="Style_34_ch" w:type="character">
    <w:name w:val="Знак сноски1"/>
    <w:link w:val="Style_34"/>
    <w:rPr>
      <w:rFonts w:ascii="Times New Roman" w:hAnsi="Times New Roman"/>
      <w:color w:val="000000"/>
      <w:spacing w:val="0"/>
      <w:sz w:val="20"/>
      <w:vertAlign w:val="superscript"/>
    </w:rPr>
  </w:style>
  <w:style w:styleId="Style_35" w:type="paragraph">
    <w:name w:val="toc 3"/>
    <w:next w:val="Style_2"/>
    <w:link w:val="Style_35_ch"/>
    <w:uiPriority w:val="39"/>
    <w:pPr>
      <w:widowControl w:val="1"/>
      <w:spacing w:after="0" w:before="0" w:line="240" w:lineRule="auto"/>
      <w:ind w:firstLine="0" w:left="400" w:right="0"/>
      <w:jc w:val="left"/>
    </w:pPr>
    <w:rPr>
      <w:rFonts w:ascii="XO Thames" w:hAnsi="XO Thames"/>
      <w:color w:val="000000"/>
      <w:spacing w:val="0"/>
      <w:sz w:val="28"/>
    </w:rPr>
  </w:style>
  <w:style w:styleId="Style_35_ch" w:type="character">
    <w:name w:val="toc 3"/>
    <w:link w:val="Style_35"/>
    <w:rPr>
      <w:rFonts w:ascii="XO Thames" w:hAnsi="XO Thames"/>
      <w:color w:val="000000"/>
      <w:spacing w:val="0"/>
      <w:sz w:val="28"/>
    </w:rPr>
  </w:style>
  <w:style w:styleId="Style_36" w:type="paragraph">
    <w:name w:val="Contents 7"/>
    <w:link w:val="Style_36_ch"/>
    <w:pPr>
      <w:widowControl w:val="1"/>
      <w:spacing w:after="0" w:before="0" w:line="240" w:lineRule="auto"/>
      <w:ind w:firstLine="0" w:left="0" w:right="0"/>
      <w:jc w:val="left"/>
    </w:pPr>
    <w:rPr>
      <w:rFonts w:ascii="XO Thames" w:hAnsi="XO Thames"/>
      <w:color w:val="000000"/>
      <w:spacing w:val="0"/>
      <w:sz w:val="28"/>
    </w:rPr>
  </w:style>
  <w:style w:styleId="Style_36_ch" w:type="character">
    <w:name w:val="Contents 7"/>
    <w:link w:val="Style_36"/>
    <w:rPr>
      <w:rFonts w:ascii="XO Thames" w:hAnsi="XO Thames"/>
      <w:color w:val="000000"/>
      <w:spacing w:val="0"/>
      <w:sz w:val="28"/>
    </w:rPr>
  </w:style>
  <w:style w:styleId="Style_37" w:type="paragraph">
    <w:name w:val="List"/>
    <w:basedOn w:val="Style_27"/>
    <w:link w:val="Style_37_ch"/>
  </w:style>
  <w:style w:styleId="Style_37_ch" w:type="character">
    <w:name w:val="List"/>
    <w:basedOn w:val="Style_27_ch"/>
    <w:link w:val="Style_37"/>
  </w:style>
  <w:style w:styleId="Style_38" w:type="paragraph">
    <w:name w:val="heading 4"/>
    <w:next w:val="Style_2"/>
    <w:link w:val="Style_38_ch"/>
    <w:pPr>
      <w:widowControl w:val="1"/>
      <w:spacing w:after="120" w:before="120" w:line="240" w:lineRule="auto"/>
      <w:ind w:firstLine="0" w:left="0" w:right="0"/>
      <w:jc w:val="both"/>
      <w:outlineLvl w:val="3"/>
    </w:pPr>
    <w:rPr>
      <w:rFonts w:ascii="XO Thames" w:hAnsi="XO Thames"/>
      <w:b w:val="1"/>
      <w:color w:val="000000"/>
      <w:spacing w:val="0"/>
      <w:sz w:val="24"/>
    </w:rPr>
  </w:style>
  <w:style w:styleId="Style_38_ch" w:type="character">
    <w:name w:val="heading 4"/>
    <w:link w:val="Style_38"/>
    <w:rPr>
      <w:rFonts w:ascii="XO Thames" w:hAnsi="XO Thames"/>
      <w:b w:val="1"/>
      <w:color w:val="000000"/>
      <w:spacing w:val="0"/>
      <w:sz w:val="24"/>
    </w:rPr>
  </w:style>
  <w:style w:styleId="Style_39" w:type="paragraph">
    <w:name w:val="Normal (Web)"/>
    <w:basedOn w:val="Style_2"/>
    <w:link w:val="Style_39_ch"/>
    <w:pPr>
      <w:spacing w:afterAutospacing="on" w:beforeAutospacing="on"/>
      <w:ind/>
    </w:pPr>
  </w:style>
  <w:style w:styleId="Style_39_ch" w:type="character">
    <w:name w:val="Normal (Web)"/>
    <w:basedOn w:val="Style_2_ch"/>
    <w:link w:val="Style_39"/>
  </w:style>
  <w:style w:styleId="Style_40" w:type="paragraph">
    <w:name w:val="heading 5"/>
    <w:link w:val="Style_40_ch"/>
    <w:uiPriority w:val="9"/>
    <w:qFormat/>
    <w:pPr>
      <w:ind/>
      <w:outlineLvl w:val="4"/>
    </w:pPr>
    <w:rPr>
      <w:rFonts w:ascii="XO Thames" w:hAnsi="XO Thames"/>
      <w:b w:val="1"/>
      <w:color w:val="000000"/>
      <w:spacing w:val="0"/>
      <w:sz w:val="22"/>
    </w:rPr>
  </w:style>
  <w:style w:styleId="Style_40_ch" w:type="character">
    <w:name w:val="heading 5"/>
    <w:link w:val="Style_40"/>
    <w:rPr>
      <w:rFonts w:ascii="XO Thames" w:hAnsi="XO Thames"/>
      <w:b w:val="1"/>
      <w:color w:val="000000"/>
      <w:spacing w:val="0"/>
      <w:sz w:val="22"/>
    </w:rPr>
  </w:style>
  <w:style w:styleId="Style_41" w:type="paragraph">
    <w:name w:val="Contents 8"/>
    <w:link w:val="Style_41_ch"/>
    <w:pPr>
      <w:widowControl w:val="1"/>
      <w:spacing w:after="0" w:before="0" w:line="240" w:lineRule="auto"/>
      <w:ind w:firstLine="0" w:left="0" w:right="0"/>
      <w:jc w:val="left"/>
    </w:pPr>
    <w:rPr>
      <w:rFonts w:ascii="XO Thames" w:hAnsi="XO Thames"/>
      <w:color w:val="000000"/>
      <w:spacing w:val="0"/>
      <w:sz w:val="28"/>
    </w:rPr>
  </w:style>
  <w:style w:styleId="Style_41_ch" w:type="character">
    <w:name w:val="Contents 8"/>
    <w:link w:val="Style_41"/>
    <w:rPr>
      <w:rFonts w:ascii="XO Thames" w:hAnsi="XO Thames"/>
      <w:color w:val="000000"/>
      <w:spacing w:val="0"/>
      <w:sz w:val="28"/>
    </w:rPr>
  </w:style>
  <w:style w:styleId="Style_42" w:type="paragraph">
    <w:name w:val="Body Text Indent 2"/>
    <w:basedOn w:val="Style_2"/>
    <w:link w:val="Style_42_ch"/>
    <w:pPr>
      <w:spacing w:after="120" w:before="0" w:line="480" w:lineRule="auto"/>
      <w:ind w:firstLine="0" w:left="283" w:right="0"/>
    </w:pPr>
  </w:style>
  <w:style w:styleId="Style_42_ch" w:type="character">
    <w:name w:val="Body Text Indent 2"/>
    <w:basedOn w:val="Style_2_ch"/>
    <w:link w:val="Style_42"/>
  </w:style>
  <w:style w:styleId="Style_43" w:type="paragraph">
    <w:name w:val="Указатель"/>
    <w:basedOn w:val="Style_2"/>
    <w:link w:val="Style_43_ch"/>
  </w:style>
  <w:style w:styleId="Style_43_ch" w:type="character">
    <w:name w:val="Указатель"/>
    <w:basedOn w:val="Style_2_ch"/>
    <w:link w:val="Style_43"/>
  </w:style>
  <w:style w:styleId="Style_44" w:type="paragraph">
    <w:name w:val="heading 1"/>
    <w:link w:val="Style_44_ch"/>
    <w:uiPriority w:val="9"/>
    <w:qFormat/>
    <w:pPr>
      <w:ind/>
      <w:outlineLvl w:val="0"/>
    </w:pPr>
    <w:rPr>
      <w:b w:val="1"/>
      <w:sz w:val="28"/>
    </w:rPr>
  </w:style>
  <w:style w:styleId="Style_44_ch" w:type="character">
    <w:name w:val="heading 1"/>
    <w:link w:val="Style_44"/>
    <w:rPr>
      <w:b w:val="1"/>
      <w:sz w:val="28"/>
    </w:rPr>
  </w:style>
  <w:style w:styleId="Style_3" w:type="paragraph">
    <w:name w:val="Footer"/>
    <w:basedOn w:val="Style_2"/>
    <w:link w:val="Style_3_ch"/>
    <w:pPr>
      <w:tabs>
        <w:tab w:leader="none" w:pos="708" w:val="clear"/>
        <w:tab w:leader="none" w:pos="4677" w:val="center"/>
        <w:tab w:leader="none" w:pos="9355" w:val="right"/>
      </w:tabs>
      <w:ind/>
    </w:pPr>
  </w:style>
  <w:style w:styleId="Style_3_ch" w:type="character">
    <w:name w:val="Footer"/>
    <w:basedOn w:val="Style_2_ch"/>
    <w:link w:val="Style_3"/>
  </w:style>
  <w:style w:styleId="Style_45" w:type="paragraph">
    <w:name w:val="heading 1"/>
    <w:basedOn w:val="Style_2"/>
    <w:next w:val="Style_2"/>
    <w:link w:val="Style_45_ch"/>
    <w:pPr>
      <w:keepNext w:val="1"/>
      <w:ind/>
      <w:jc w:val="center"/>
      <w:outlineLvl w:val="0"/>
    </w:pPr>
    <w:rPr>
      <w:b w:val="1"/>
      <w:sz w:val="28"/>
    </w:rPr>
  </w:style>
  <w:style w:styleId="Style_45_ch" w:type="character">
    <w:name w:val="heading 1"/>
    <w:basedOn w:val="Style_2_ch"/>
    <w:link w:val="Style_45"/>
    <w:rPr>
      <w:b w:val="1"/>
      <w:sz w:val="28"/>
    </w:rPr>
  </w:style>
  <w:style w:styleId="Style_46" w:type="paragraph">
    <w:name w:val="Body Text"/>
    <w:basedOn w:val="Style_2"/>
    <w:link w:val="Style_46_ch"/>
    <w:pPr>
      <w:ind/>
      <w:jc w:val="both"/>
    </w:pPr>
    <w:rPr>
      <w:b w:val="1"/>
    </w:rPr>
  </w:style>
  <w:style w:styleId="Style_46_ch" w:type="character">
    <w:name w:val="Body Text"/>
    <w:basedOn w:val="Style_2_ch"/>
    <w:link w:val="Style_46"/>
    <w:rPr>
      <w:b w:val="1"/>
    </w:rPr>
  </w:style>
  <w:style w:styleId="Style_47" w:type="paragraph">
    <w:name w:val="Caption"/>
    <w:basedOn w:val="Style_2"/>
    <w:link w:val="Style_47_ch"/>
    <w:pPr>
      <w:spacing w:after="120" w:before="120"/>
      <w:ind/>
    </w:pPr>
    <w:rPr>
      <w:i w:val="1"/>
      <w:sz w:val="24"/>
    </w:rPr>
  </w:style>
  <w:style w:styleId="Style_47_ch" w:type="character">
    <w:name w:val="Caption"/>
    <w:basedOn w:val="Style_2_ch"/>
    <w:link w:val="Style_47"/>
    <w:rPr>
      <w:i w:val="1"/>
      <w:sz w:val="24"/>
    </w:rPr>
  </w:style>
  <w:style w:styleId="Style_48" w:type="paragraph">
    <w:name w:val="Hyperlink"/>
    <w:link w:val="Style_48_ch"/>
    <w:rPr>
      <w:color w:val="0000FF"/>
      <w:u w:val="single"/>
    </w:rPr>
  </w:style>
  <w:style w:styleId="Style_48_ch" w:type="character">
    <w:name w:val="Hyperlink"/>
    <w:link w:val="Style_48"/>
    <w:rPr>
      <w:color w:val="0000FF"/>
      <w:u w:val="single"/>
    </w:rPr>
  </w:style>
  <w:style w:styleId="Style_49" w:type="paragraph">
    <w:name w:val="Footnote"/>
    <w:basedOn w:val="Style_2"/>
    <w:link w:val="Style_49_ch"/>
    <w:rPr>
      <w:sz w:val="20"/>
    </w:rPr>
  </w:style>
  <w:style w:styleId="Style_49_ch" w:type="character">
    <w:name w:val="Footnote"/>
    <w:basedOn w:val="Style_2_ch"/>
    <w:link w:val="Style_49"/>
    <w:rPr>
      <w:sz w:val="20"/>
    </w:rPr>
  </w:style>
  <w:style w:styleId="Style_50" w:type="paragraph">
    <w:name w:val="toc 1"/>
    <w:next w:val="Style_2"/>
    <w:link w:val="Style_50_ch"/>
    <w:uiPriority w:val="39"/>
    <w:pPr>
      <w:widowControl w:val="1"/>
      <w:spacing w:after="0" w:before="0" w:line="240" w:lineRule="auto"/>
      <w:ind w:firstLine="0" w:left="0" w:right="0"/>
      <w:jc w:val="left"/>
    </w:pPr>
    <w:rPr>
      <w:rFonts w:ascii="XO Thames" w:hAnsi="XO Thames"/>
      <w:b w:val="1"/>
      <w:color w:val="000000"/>
      <w:spacing w:val="0"/>
      <w:sz w:val="28"/>
    </w:rPr>
  </w:style>
  <w:style w:styleId="Style_50_ch" w:type="character">
    <w:name w:val="toc 1"/>
    <w:link w:val="Style_50"/>
    <w:rPr>
      <w:rFonts w:ascii="XO Thames" w:hAnsi="XO Thames"/>
      <w:b w:val="1"/>
      <w:color w:val="000000"/>
      <w:spacing w:val="0"/>
      <w:sz w:val="28"/>
    </w:rPr>
  </w:style>
  <w:style w:styleId="Style_51" w:type="paragraph">
    <w:name w:val="Стиль3 Знак"/>
    <w:basedOn w:val="Style_42"/>
    <w:link w:val="Style_51_ch"/>
    <w:pPr>
      <w:widowControl w:val="0"/>
      <w:tabs>
        <w:tab w:leader="none" w:pos="708" w:val="clear"/>
        <w:tab w:leader="none" w:pos="968" w:val="left"/>
      </w:tabs>
      <w:spacing w:after="0" w:before="0" w:line="240" w:lineRule="auto"/>
      <w:ind w:firstLine="0" w:left="741" w:right="0"/>
      <w:jc w:val="both"/>
    </w:pPr>
  </w:style>
  <w:style w:styleId="Style_51_ch" w:type="character">
    <w:name w:val="Стиль3 Знак"/>
    <w:basedOn w:val="Style_42_ch"/>
    <w:link w:val="Style_51"/>
  </w:style>
  <w:style w:styleId="Style_52" w:type="paragraph">
    <w:name w:val="Header and Footer"/>
    <w:link w:val="Style_52_ch"/>
    <w:rPr>
      <w:rFonts w:ascii="XO Thames" w:hAnsi="XO Thames"/>
    </w:rPr>
  </w:style>
  <w:style w:styleId="Style_52_ch" w:type="character">
    <w:name w:val="Header and Footer"/>
    <w:link w:val="Style_52"/>
    <w:rPr>
      <w:rFonts w:ascii="XO Thames" w:hAnsi="XO Thames"/>
    </w:rPr>
  </w:style>
  <w:style w:styleId="Style_5" w:type="paragraph">
    <w:name w:val="List Paragraph"/>
    <w:basedOn w:val="Style_2"/>
    <w:link w:val="Style_5_ch"/>
    <w:pPr>
      <w:spacing w:after="0" w:before="0"/>
      <w:ind w:firstLine="0" w:left="720" w:right="0"/>
      <w:contextualSpacing w:val="1"/>
    </w:pPr>
  </w:style>
  <w:style w:styleId="Style_5_ch" w:type="character">
    <w:name w:val="List Paragraph"/>
    <w:basedOn w:val="Style_2_ch"/>
    <w:link w:val="Style_5"/>
  </w:style>
  <w:style w:styleId="Style_53" w:type="paragraph">
    <w:name w:val="Default Paragraph Font"/>
    <w:link w:val="Style_53_ch"/>
    <w:pPr>
      <w:widowControl w:val="1"/>
      <w:spacing w:after="0" w:before="0" w:line="240" w:lineRule="auto"/>
      <w:ind w:firstLine="0" w:left="0" w:right="0"/>
      <w:jc w:val="left"/>
    </w:pPr>
    <w:rPr>
      <w:rFonts w:ascii="Times New Roman" w:hAnsi="Times New Roman"/>
      <w:color w:val="000000"/>
      <w:spacing w:val="0"/>
      <w:sz w:val="20"/>
    </w:rPr>
  </w:style>
  <w:style w:styleId="Style_53_ch" w:type="character">
    <w:name w:val="Default Paragraph Font"/>
    <w:link w:val="Style_53"/>
    <w:rPr>
      <w:rFonts w:ascii="Times New Roman" w:hAnsi="Times New Roman"/>
      <w:color w:val="000000"/>
      <w:spacing w:val="0"/>
      <w:sz w:val="20"/>
    </w:rPr>
  </w:style>
  <w:style w:styleId="Style_54" w:type="paragraph">
    <w:name w:val="Заголовок 1 Знак"/>
    <w:link w:val="Style_54_ch"/>
    <w:pPr>
      <w:widowControl w:val="1"/>
      <w:spacing w:after="0" w:before="0" w:line="240" w:lineRule="auto"/>
      <w:ind w:firstLine="0" w:left="0" w:right="0"/>
      <w:jc w:val="left"/>
    </w:pPr>
    <w:rPr>
      <w:rFonts w:ascii="Times New Roman" w:hAnsi="Times New Roman"/>
      <w:b w:val="1"/>
      <w:color w:val="000000"/>
      <w:spacing w:val="0"/>
      <w:sz w:val="28"/>
    </w:rPr>
  </w:style>
  <w:style w:styleId="Style_54_ch" w:type="character">
    <w:name w:val="Заголовок 1 Знак"/>
    <w:link w:val="Style_54"/>
    <w:rPr>
      <w:rFonts w:ascii="Times New Roman" w:hAnsi="Times New Roman"/>
      <w:b w:val="1"/>
      <w:color w:val="000000"/>
      <w:spacing w:val="0"/>
      <w:sz w:val="28"/>
    </w:rPr>
  </w:style>
  <w:style w:styleId="Style_55" w:type="paragraph">
    <w:name w:val="Text body indent"/>
    <w:link w:val="Style_55_ch"/>
    <w:pPr>
      <w:widowControl w:val="1"/>
      <w:spacing w:after="0" w:before="0" w:line="240" w:lineRule="auto"/>
      <w:ind w:firstLine="0" w:left="0" w:right="0"/>
      <w:jc w:val="left"/>
    </w:pPr>
    <w:rPr>
      <w:rFonts w:ascii="Times New Roman" w:hAnsi="Times New Roman"/>
      <w:color w:val="000000"/>
      <w:spacing w:val="0"/>
      <w:sz w:val="20"/>
    </w:rPr>
  </w:style>
  <w:style w:styleId="Style_55_ch" w:type="character">
    <w:name w:val="Text body indent"/>
    <w:link w:val="Style_55"/>
    <w:rPr>
      <w:rFonts w:ascii="Times New Roman" w:hAnsi="Times New Roman"/>
      <w:color w:val="000000"/>
      <w:spacing w:val="0"/>
      <w:sz w:val="20"/>
    </w:rPr>
  </w:style>
  <w:style w:styleId="Style_56" w:type="paragraph">
    <w:name w:val="Заголовок"/>
    <w:basedOn w:val="Style_2"/>
    <w:next w:val="Style_46"/>
    <w:link w:val="Style_56_ch"/>
    <w:pPr>
      <w:keepNext w:val="1"/>
      <w:spacing w:after="120" w:before="240"/>
      <w:ind/>
    </w:pPr>
    <w:rPr>
      <w:rFonts w:ascii="Open Sans" w:hAnsi="Open Sans"/>
      <w:sz w:val="28"/>
    </w:rPr>
  </w:style>
  <w:style w:styleId="Style_56_ch" w:type="character">
    <w:name w:val="Заголовок"/>
    <w:basedOn w:val="Style_2_ch"/>
    <w:link w:val="Style_56"/>
    <w:rPr>
      <w:rFonts w:ascii="Open Sans" w:hAnsi="Open Sans"/>
      <w:sz w:val="28"/>
    </w:rPr>
  </w:style>
  <w:style w:styleId="Style_57" w:type="paragraph">
    <w:name w:val="heading 5"/>
    <w:next w:val="Style_2"/>
    <w:link w:val="Style_57_ch"/>
    <w:pPr>
      <w:widowControl w:val="1"/>
      <w:spacing w:after="120" w:before="120" w:line="240" w:lineRule="auto"/>
      <w:ind w:firstLine="0" w:left="0" w:right="0"/>
      <w:jc w:val="both"/>
      <w:outlineLvl w:val="4"/>
    </w:pPr>
    <w:rPr>
      <w:rFonts w:ascii="XO Thames" w:hAnsi="XO Thames"/>
      <w:b w:val="1"/>
      <w:color w:val="000000"/>
      <w:spacing w:val="0"/>
      <w:sz w:val="22"/>
    </w:rPr>
  </w:style>
  <w:style w:styleId="Style_57_ch" w:type="character">
    <w:name w:val="heading 5"/>
    <w:link w:val="Style_57"/>
    <w:rPr>
      <w:rFonts w:ascii="XO Thames" w:hAnsi="XO Thames"/>
      <w:b w:val="1"/>
      <w:color w:val="000000"/>
      <w:spacing w:val="0"/>
      <w:sz w:val="22"/>
    </w:rPr>
  </w:style>
  <w:style w:styleId="Style_58" w:type="paragraph">
    <w:name w:val="Верхний колонтитул Знак"/>
    <w:basedOn w:val="Style_32"/>
    <w:link w:val="Style_58_ch"/>
    <w:rPr>
      <w:sz w:val="24"/>
    </w:rPr>
  </w:style>
  <w:style w:styleId="Style_58_ch" w:type="character">
    <w:name w:val="Верхний колонтитул Знак"/>
    <w:basedOn w:val="Style_32_ch"/>
    <w:link w:val="Style_58"/>
    <w:rPr>
      <w:sz w:val="24"/>
    </w:rPr>
  </w:style>
  <w:style w:styleId="Style_59" w:type="paragraph">
    <w:name w:val="toc 9"/>
    <w:next w:val="Style_2"/>
    <w:link w:val="Style_59_ch"/>
    <w:uiPriority w:val="39"/>
    <w:pPr>
      <w:widowControl w:val="1"/>
      <w:spacing w:after="0" w:before="0" w:line="240" w:lineRule="auto"/>
      <w:ind w:firstLine="0" w:left="1600" w:right="0"/>
      <w:jc w:val="left"/>
    </w:pPr>
    <w:rPr>
      <w:rFonts w:ascii="XO Thames" w:hAnsi="XO Thames"/>
      <w:color w:val="000000"/>
      <w:spacing w:val="0"/>
      <w:sz w:val="28"/>
    </w:rPr>
  </w:style>
  <w:style w:styleId="Style_59_ch" w:type="character">
    <w:name w:val="toc 9"/>
    <w:link w:val="Style_59"/>
    <w:rPr>
      <w:rFonts w:ascii="XO Thames" w:hAnsi="XO Thames"/>
      <w:color w:val="000000"/>
      <w:spacing w:val="0"/>
      <w:sz w:val="28"/>
    </w:rPr>
  </w:style>
  <w:style w:styleId="Style_60" w:type="paragraph">
    <w:name w:val="Заголовок 3 Знак"/>
    <w:basedOn w:val="Style_32"/>
    <w:link w:val="Style_60_ch"/>
    <w:rPr>
      <w:rFonts w:asciiTheme="majorAscii" w:hAnsiTheme="majorHAnsi"/>
      <w:b w:val="1"/>
      <w:color w:themeColor="accent1" w:val="4F81BD"/>
      <w:sz w:val="24"/>
    </w:rPr>
  </w:style>
  <w:style w:styleId="Style_60_ch" w:type="character">
    <w:name w:val="Заголовок 3 Знак"/>
    <w:basedOn w:val="Style_32_ch"/>
    <w:link w:val="Style_60"/>
    <w:rPr>
      <w:rFonts w:asciiTheme="majorAscii" w:hAnsiTheme="majorHAnsi"/>
      <w:b w:val="1"/>
      <w:color w:themeColor="accent1" w:val="4F81BD"/>
      <w:sz w:val="24"/>
    </w:rPr>
  </w:style>
  <w:style w:styleId="Style_4" w:type="paragraph">
    <w:name w:val="ConsPlusTitle"/>
    <w:link w:val="Style_4_ch"/>
    <w:pPr>
      <w:widowControl w:val="0"/>
      <w:spacing w:after="0" w:before="0" w:line="240" w:lineRule="auto"/>
      <w:ind w:firstLine="0" w:left="0" w:right="0"/>
      <w:jc w:val="left"/>
    </w:pPr>
    <w:rPr>
      <w:rFonts w:ascii="Arial" w:hAnsi="Arial"/>
      <w:b w:val="1"/>
      <w:color w:val="000000"/>
      <w:spacing w:val="0"/>
      <w:sz w:val="20"/>
    </w:rPr>
  </w:style>
  <w:style w:styleId="Style_4_ch" w:type="character">
    <w:name w:val="ConsPlusTitle"/>
    <w:link w:val="Style_4"/>
    <w:rPr>
      <w:rFonts w:ascii="Arial" w:hAnsi="Arial"/>
      <w:b w:val="1"/>
      <w:color w:val="000000"/>
      <w:spacing w:val="0"/>
      <w:sz w:val="20"/>
    </w:rPr>
  </w:style>
  <w:style w:styleId="Style_61" w:type="paragraph">
    <w:name w:val="Caption"/>
    <w:link w:val="Style_61_ch"/>
    <w:rPr>
      <w:i w:val="1"/>
      <w:sz w:val="24"/>
    </w:rPr>
  </w:style>
  <w:style w:styleId="Style_61_ch" w:type="character">
    <w:name w:val="Caption"/>
    <w:link w:val="Style_61"/>
    <w:rPr>
      <w:i w:val="1"/>
      <w:sz w:val="24"/>
    </w:rPr>
  </w:style>
  <w:style w:styleId="Style_62" w:type="paragraph">
    <w:name w:val="Internet link"/>
    <w:link w:val="Style_62_ch"/>
    <w:pPr>
      <w:widowControl w:val="1"/>
      <w:spacing w:after="0" w:before="0" w:line="240" w:lineRule="auto"/>
      <w:ind w:firstLine="0" w:left="0" w:right="0"/>
      <w:jc w:val="left"/>
    </w:pPr>
    <w:rPr>
      <w:rFonts w:ascii="Times New Roman" w:hAnsi="Times New Roman"/>
      <w:color w:val="0000FF"/>
      <w:spacing w:val="0"/>
      <w:sz w:val="20"/>
      <w:u w:val="single"/>
    </w:rPr>
  </w:style>
  <w:style w:styleId="Style_62_ch" w:type="character">
    <w:name w:val="Internet link"/>
    <w:link w:val="Style_62"/>
    <w:rPr>
      <w:rFonts w:ascii="Times New Roman" w:hAnsi="Times New Roman"/>
      <w:color w:val="0000FF"/>
      <w:spacing w:val="0"/>
      <w:sz w:val="20"/>
      <w:u w:val="single"/>
    </w:rPr>
  </w:style>
  <w:style w:styleId="Style_63" w:type="paragraph">
    <w:name w:val="Символ сноски"/>
    <w:link w:val="Style_63_ch"/>
    <w:pPr>
      <w:widowControl w:val="1"/>
      <w:spacing w:after="0" w:before="0" w:line="240" w:lineRule="auto"/>
      <w:ind w:firstLine="0" w:left="0" w:right="0"/>
      <w:jc w:val="left"/>
    </w:pPr>
    <w:rPr>
      <w:rFonts w:ascii="Times New Roman" w:hAnsi="Times New Roman"/>
      <w:color w:val="000000"/>
      <w:spacing w:val="0"/>
      <w:sz w:val="20"/>
      <w:vertAlign w:val="superscript"/>
    </w:rPr>
  </w:style>
  <w:style w:styleId="Style_63_ch" w:type="character">
    <w:name w:val="Символ сноски"/>
    <w:link w:val="Style_63"/>
    <w:rPr>
      <w:rFonts w:ascii="Times New Roman" w:hAnsi="Times New Roman"/>
      <w:color w:val="000000"/>
      <w:spacing w:val="0"/>
      <w:sz w:val="20"/>
      <w:vertAlign w:val="superscript"/>
    </w:rPr>
  </w:style>
  <w:style w:styleId="Style_64" w:type="paragraph">
    <w:name w:val="toc 8"/>
    <w:next w:val="Style_2"/>
    <w:link w:val="Style_64_ch"/>
    <w:uiPriority w:val="39"/>
    <w:pPr>
      <w:widowControl w:val="1"/>
      <w:spacing w:after="0" w:before="0" w:line="240" w:lineRule="auto"/>
      <w:ind w:firstLine="0" w:left="1400" w:right="0"/>
      <w:jc w:val="left"/>
    </w:pPr>
    <w:rPr>
      <w:rFonts w:ascii="XO Thames" w:hAnsi="XO Thames"/>
      <w:color w:val="000000"/>
      <w:spacing w:val="0"/>
      <w:sz w:val="28"/>
    </w:rPr>
  </w:style>
  <w:style w:styleId="Style_64_ch" w:type="character">
    <w:name w:val="toc 8"/>
    <w:link w:val="Style_64"/>
    <w:rPr>
      <w:rFonts w:ascii="XO Thames" w:hAnsi="XO Thames"/>
      <w:color w:val="000000"/>
      <w:spacing w:val="0"/>
      <w:sz w:val="28"/>
    </w:rPr>
  </w:style>
  <w:style w:styleId="Style_65" w:type="paragraph">
    <w:name w:val="Таблицы (моноширинный)"/>
    <w:basedOn w:val="Style_2"/>
    <w:next w:val="Style_2"/>
    <w:link w:val="Style_65_ch"/>
    <w:pPr>
      <w:widowControl w:val="0"/>
      <w:ind/>
      <w:jc w:val="both"/>
    </w:pPr>
    <w:rPr>
      <w:rFonts w:ascii="Courier New" w:hAnsi="Courier New"/>
      <w:sz w:val="28"/>
    </w:rPr>
  </w:style>
  <w:style w:styleId="Style_65_ch" w:type="character">
    <w:name w:val="Таблицы (моноширинный)"/>
    <w:basedOn w:val="Style_2_ch"/>
    <w:link w:val="Style_65"/>
    <w:rPr>
      <w:rFonts w:ascii="Courier New" w:hAnsi="Courier New"/>
      <w:sz w:val="28"/>
    </w:rPr>
  </w:style>
  <w:style w:styleId="Style_66" w:type="paragraph">
    <w:name w:val="Subtitle"/>
    <w:next w:val="Style_2"/>
    <w:link w:val="Style_66_ch"/>
    <w:pPr>
      <w:widowControl w:val="1"/>
      <w:spacing w:after="0" w:before="0" w:line="240" w:lineRule="auto"/>
      <w:ind w:firstLine="0" w:left="0" w:right="0"/>
      <w:jc w:val="left"/>
    </w:pPr>
    <w:rPr>
      <w:rFonts w:ascii="XO Thames" w:hAnsi="XO Thames"/>
      <w:i w:val="1"/>
      <w:color w:val="000000"/>
      <w:spacing w:val="0"/>
      <w:sz w:val="24"/>
    </w:rPr>
  </w:style>
  <w:style w:styleId="Style_66_ch" w:type="character">
    <w:name w:val="Subtitle"/>
    <w:link w:val="Style_66"/>
    <w:rPr>
      <w:rFonts w:ascii="XO Thames" w:hAnsi="XO Thames"/>
      <w:i w:val="1"/>
      <w:color w:val="000000"/>
      <w:spacing w:val="0"/>
      <w:sz w:val="24"/>
    </w:rPr>
  </w:style>
  <w:style w:styleId="Style_1" w:type="paragraph">
    <w:name w:val="Header"/>
    <w:link w:val="Style_1_ch"/>
    <w:pPr>
      <w:widowControl w:val="1"/>
      <w:spacing w:after="0" w:before="0" w:line="240" w:lineRule="auto"/>
      <w:ind w:firstLine="0" w:left="0" w:right="0"/>
      <w:jc w:val="left"/>
    </w:pPr>
    <w:rPr>
      <w:rFonts w:ascii="Times New Roman" w:hAnsi="Times New Roman"/>
      <w:color w:val="000000"/>
      <w:spacing w:val="0"/>
      <w:sz w:val="20"/>
    </w:rPr>
  </w:style>
  <w:style w:styleId="Style_1_ch" w:type="character">
    <w:name w:val="Header"/>
    <w:link w:val="Style_1"/>
    <w:rPr>
      <w:rFonts w:ascii="Times New Roman" w:hAnsi="Times New Roman"/>
      <w:color w:val="000000"/>
      <w:spacing w:val="0"/>
      <w:sz w:val="20"/>
    </w:rPr>
  </w:style>
  <w:style w:styleId="Style_67" w:type="paragraph">
    <w:name w:val="Contents 4"/>
    <w:link w:val="Style_67_ch"/>
    <w:pPr>
      <w:widowControl w:val="1"/>
      <w:spacing w:after="0" w:before="0" w:line="240" w:lineRule="auto"/>
      <w:ind w:firstLine="0" w:left="0" w:right="0"/>
      <w:jc w:val="left"/>
    </w:pPr>
    <w:rPr>
      <w:rFonts w:ascii="XO Thames" w:hAnsi="XO Thames"/>
      <w:color w:val="000000"/>
      <w:spacing w:val="0"/>
      <w:sz w:val="28"/>
    </w:rPr>
  </w:style>
  <w:style w:styleId="Style_67_ch" w:type="character">
    <w:name w:val="Contents 4"/>
    <w:link w:val="Style_67"/>
    <w:rPr>
      <w:rFonts w:ascii="XO Thames" w:hAnsi="XO Thames"/>
      <w:color w:val="000000"/>
      <w:spacing w:val="0"/>
      <w:sz w:val="28"/>
    </w:rPr>
  </w:style>
  <w:style w:styleId="Style_68" w:type="paragraph">
    <w:name w:val="toc 5"/>
    <w:next w:val="Style_2"/>
    <w:link w:val="Style_68_ch"/>
    <w:uiPriority w:val="39"/>
    <w:pPr>
      <w:widowControl w:val="1"/>
      <w:spacing w:after="0" w:before="0" w:line="240" w:lineRule="auto"/>
      <w:ind w:firstLine="0" w:left="800" w:right="0"/>
      <w:jc w:val="left"/>
    </w:pPr>
    <w:rPr>
      <w:rFonts w:ascii="XO Thames" w:hAnsi="XO Thames"/>
      <w:color w:val="000000"/>
      <w:spacing w:val="0"/>
      <w:sz w:val="28"/>
    </w:rPr>
  </w:style>
  <w:style w:styleId="Style_68_ch" w:type="character">
    <w:name w:val="toc 5"/>
    <w:link w:val="Style_68"/>
    <w:rPr>
      <w:rFonts w:ascii="XO Thames" w:hAnsi="XO Thames"/>
      <w:color w:val="000000"/>
      <w:spacing w:val="0"/>
      <w:sz w:val="28"/>
    </w:rPr>
  </w:style>
  <w:style w:styleId="Style_69" w:type="paragraph">
    <w:name w:val="Абзац списка1"/>
    <w:basedOn w:val="Style_2"/>
    <w:link w:val="Style_69_ch"/>
    <w:pPr>
      <w:spacing w:after="200" w:before="0" w:line="276" w:lineRule="auto"/>
      <w:ind w:firstLine="0" w:left="720" w:right="0"/>
      <w:contextualSpacing w:val="1"/>
    </w:pPr>
    <w:rPr>
      <w:rFonts w:ascii="Calibri" w:hAnsi="Calibri"/>
      <w:sz w:val="22"/>
    </w:rPr>
  </w:style>
  <w:style w:styleId="Style_69_ch" w:type="character">
    <w:name w:val="Абзац списка1"/>
    <w:basedOn w:val="Style_2_ch"/>
    <w:link w:val="Style_69"/>
    <w:rPr>
      <w:rFonts w:ascii="Calibri" w:hAnsi="Calibri"/>
      <w:sz w:val="22"/>
    </w:rPr>
  </w:style>
  <w:style w:styleId="Style_70" w:type="paragraph">
    <w:name w:val="Contents 6"/>
    <w:link w:val="Style_70_ch"/>
    <w:pPr>
      <w:widowControl w:val="1"/>
      <w:spacing w:after="0" w:before="0" w:line="240" w:lineRule="auto"/>
      <w:ind w:firstLine="0" w:left="0" w:right="0"/>
      <w:jc w:val="left"/>
    </w:pPr>
    <w:rPr>
      <w:rFonts w:ascii="XO Thames" w:hAnsi="XO Thames"/>
      <w:color w:val="000000"/>
      <w:spacing w:val="0"/>
      <w:sz w:val="28"/>
    </w:rPr>
  </w:style>
  <w:style w:styleId="Style_70_ch" w:type="character">
    <w:name w:val="Contents 6"/>
    <w:link w:val="Style_70"/>
    <w:rPr>
      <w:rFonts w:ascii="XO Thames" w:hAnsi="XO Thames"/>
      <w:color w:val="000000"/>
      <w:spacing w:val="0"/>
      <w:sz w:val="28"/>
    </w:rPr>
  </w:style>
  <w:style w:styleId="Style_71" w:type="paragraph">
    <w:name w:val="Заголовок таблицы"/>
    <w:basedOn w:val="Style_22"/>
    <w:link w:val="Style_71_ch"/>
    <w:pPr>
      <w:ind/>
      <w:jc w:val="center"/>
    </w:pPr>
    <w:rPr>
      <w:b w:val="1"/>
    </w:rPr>
  </w:style>
  <w:style w:styleId="Style_71_ch" w:type="character">
    <w:name w:val="Заголовок таблицы"/>
    <w:basedOn w:val="Style_22_ch"/>
    <w:link w:val="Style_71"/>
    <w:rPr>
      <w:b w:val="1"/>
    </w:rPr>
  </w:style>
  <w:style w:styleId="Style_72" w:type="paragraph">
    <w:name w:val="nobr"/>
    <w:basedOn w:val="Style_32"/>
    <w:link w:val="Style_72_ch"/>
  </w:style>
  <w:style w:styleId="Style_72_ch" w:type="character">
    <w:name w:val="nobr"/>
    <w:basedOn w:val="Style_32_ch"/>
    <w:link w:val="Style_72"/>
  </w:style>
  <w:style w:styleId="Style_73" w:type="paragraph">
    <w:name w:val="Содержимое врезки"/>
    <w:basedOn w:val="Style_2"/>
    <w:link w:val="Style_73_ch"/>
  </w:style>
  <w:style w:styleId="Style_73_ch" w:type="character">
    <w:name w:val="Содержимое врезки"/>
    <w:basedOn w:val="Style_2_ch"/>
    <w:link w:val="Style_73"/>
  </w:style>
  <w:style w:styleId="Style_32" w:type="paragraph">
    <w:name w:val="Основной шрифт абзаца1"/>
    <w:link w:val="Style_32_ch"/>
    <w:pPr>
      <w:widowControl w:val="1"/>
      <w:spacing w:after="0" w:before="0" w:line="240" w:lineRule="auto"/>
      <w:ind w:firstLine="0" w:left="0" w:right="0"/>
      <w:jc w:val="left"/>
    </w:pPr>
    <w:rPr>
      <w:rFonts w:ascii="Times New Roman" w:hAnsi="Times New Roman"/>
      <w:color w:val="000000"/>
      <w:spacing w:val="0"/>
      <w:sz w:val="20"/>
    </w:rPr>
  </w:style>
  <w:style w:styleId="Style_32_ch" w:type="character">
    <w:name w:val="Основной шрифт абзаца1"/>
    <w:link w:val="Style_32"/>
    <w:rPr>
      <w:rFonts w:ascii="Times New Roman" w:hAnsi="Times New Roman"/>
      <w:color w:val="000000"/>
      <w:spacing w:val="0"/>
      <w:sz w:val="20"/>
    </w:rPr>
  </w:style>
  <w:style w:styleId="Style_74" w:type="paragraph">
    <w:name w:val="Unresolved Mention"/>
    <w:basedOn w:val="Style_32"/>
    <w:link w:val="Style_74_ch"/>
    <w:rPr>
      <w:color w:val="605E5C"/>
      <w:shd w:fill="E1DFDD" w:val="clear"/>
    </w:rPr>
  </w:style>
  <w:style w:styleId="Style_74_ch" w:type="character">
    <w:name w:val="Unresolved Mention"/>
    <w:basedOn w:val="Style_32_ch"/>
    <w:link w:val="Style_74"/>
    <w:rPr>
      <w:color w:val="605E5C"/>
      <w:shd w:fill="E1DFDD" w:val="clear"/>
    </w:rPr>
  </w:style>
  <w:style w:styleId="Style_75" w:type="paragraph">
    <w:name w:val="Contents 2"/>
    <w:link w:val="Style_75_ch"/>
    <w:pPr>
      <w:widowControl w:val="1"/>
      <w:spacing w:after="0" w:before="0" w:line="240" w:lineRule="auto"/>
      <w:ind w:firstLine="0" w:left="0" w:right="0"/>
      <w:jc w:val="left"/>
    </w:pPr>
    <w:rPr>
      <w:rFonts w:ascii="XO Thames" w:hAnsi="XO Thames"/>
      <w:color w:val="000000"/>
      <w:spacing w:val="0"/>
      <w:sz w:val="28"/>
    </w:rPr>
  </w:style>
  <w:style w:styleId="Style_75_ch" w:type="character">
    <w:name w:val="Contents 2"/>
    <w:link w:val="Style_75"/>
    <w:rPr>
      <w:rFonts w:ascii="XO Thames" w:hAnsi="XO Thames"/>
      <w:color w:val="000000"/>
      <w:spacing w:val="0"/>
      <w:sz w:val="28"/>
    </w:rPr>
  </w:style>
  <w:style w:styleId="Style_76" w:type="paragraph">
    <w:name w:val="Subtitle"/>
    <w:link w:val="Style_76_ch"/>
    <w:uiPriority w:val="11"/>
    <w:qFormat/>
    <w:rPr>
      <w:rFonts w:ascii="XO Thames" w:hAnsi="XO Thames"/>
      <w:i w:val="1"/>
      <w:sz w:val="24"/>
    </w:rPr>
  </w:style>
  <w:style w:styleId="Style_76_ch" w:type="character">
    <w:name w:val="Subtitle"/>
    <w:link w:val="Style_76"/>
    <w:rPr>
      <w:rFonts w:ascii="XO Thames" w:hAnsi="XO Thames"/>
      <w:i w:val="1"/>
      <w:sz w:val="24"/>
    </w:rPr>
  </w:style>
  <w:style w:styleId="Style_77" w:type="paragraph">
    <w:name w:val="Основной текст (2)"/>
    <w:basedOn w:val="Style_2"/>
    <w:link w:val="Style_77_ch"/>
    <w:pPr>
      <w:widowControl w:val="0"/>
      <w:spacing w:line="408" w:lineRule="exact"/>
      <w:ind/>
      <w:jc w:val="both"/>
    </w:pPr>
    <w:rPr>
      <w:sz w:val="20"/>
    </w:rPr>
  </w:style>
  <w:style w:styleId="Style_77_ch" w:type="character">
    <w:name w:val="Основной текст (2)"/>
    <w:basedOn w:val="Style_2_ch"/>
    <w:link w:val="Style_77"/>
    <w:rPr>
      <w:sz w:val="20"/>
    </w:rPr>
  </w:style>
  <w:style w:styleId="Style_78" w:type="paragraph">
    <w:name w:val="Title"/>
    <w:next w:val="Style_2"/>
    <w:link w:val="Style_78_ch"/>
    <w:uiPriority w:val="10"/>
    <w:qFormat/>
    <w:pPr>
      <w:widowControl w:val="1"/>
      <w:spacing w:after="0" w:before="0" w:line="240" w:lineRule="auto"/>
      <w:ind w:firstLine="0" w:left="0" w:right="0"/>
      <w:jc w:val="left"/>
    </w:pPr>
    <w:rPr>
      <w:rFonts w:ascii="XO Thames" w:hAnsi="XO Thames"/>
      <w:b w:val="1"/>
      <w:caps w:val="1"/>
      <w:color w:val="000000"/>
      <w:spacing w:val="0"/>
      <w:sz w:val="40"/>
    </w:rPr>
  </w:style>
  <w:style w:styleId="Style_78_ch" w:type="character">
    <w:name w:val="Title"/>
    <w:link w:val="Style_78"/>
    <w:rPr>
      <w:rFonts w:ascii="XO Thames" w:hAnsi="XO Thames"/>
      <w:b w:val="1"/>
      <w:caps w:val="1"/>
      <w:color w:val="000000"/>
      <w:spacing w:val="0"/>
      <w:sz w:val="40"/>
    </w:rPr>
  </w:style>
  <w:style w:styleId="Style_79" w:type="paragraph">
    <w:name w:val="heading 4"/>
    <w:link w:val="Style_79_ch"/>
    <w:uiPriority w:val="9"/>
    <w:qFormat/>
    <w:pPr>
      <w:ind/>
      <w:outlineLvl w:val="3"/>
    </w:pPr>
    <w:rPr>
      <w:rFonts w:ascii="XO Thames" w:hAnsi="XO Thames"/>
      <w:b w:val="1"/>
      <w:color w:val="000000"/>
      <w:spacing w:val="0"/>
      <w:sz w:val="24"/>
    </w:rPr>
  </w:style>
  <w:style w:styleId="Style_79_ch" w:type="character">
    <w:name w:val="heading 4"/>
    <w:link w:val="Style_79"/>
    <w:rPr>
      <w:rFonts w:ascii="XO Thames" w:hAnsi="XO Thames"/>
      <w:b w:val="1"/>
      <w:color w:val="000000"/>
      <w:spacing w:val="0"/>
      <w:sz w:val="24"/>
    </w:rPr>
  </w:style>
  <w:style w:styleId="Style_80" w:type="paragraph">
    <w:name w:val="Heading 3"/>
    <w:link w:val="Style_80_ch"/>
    <w:rPr>
      <w:rFonts w:asciiTheme="majorAscii" w:hAnsiTheme="majorHAnsi"/>
      <w:b w:val="1"/>
      <w:color w:themeColor="accent1" w:val="4F81BD"/>
    </w:rPr>
  </w:style>
  <w:style w:styleId="Style_80_ch" w:type="character">
    <w:name w:val="Heading 3"/>
    <w:link w:val="Style_80"/>
    <w:rPr>
      <w:rFonts w:asciiTheme="majorAscii" w:hAnsiTheme="majorHAnsi"/>
      <w:b w:val="1"/>
      <w:color w:themeColor="accent1" w:val="4F81BD"/>
    </w:rPr>
  </w:style>
  <w:style w:styleId="Style_81" w:type="paragraph">
    <w:name w:val="index heading"/>
    <w:basedOn w:val="Style_2"/>
    <w:link w:val="Style_81_ch"/>
  </w:style>
  <w:style w:styleId="Style_81_ch" w:type="character">
    <w:name w:val="index heading"/>
    <w:basedOn w:val="Style_2_ch"/>
    <w:link w:val="Style_81"/>
  </w:style>
  <w:style w:styleId="Style_82" w:type="paragraph">
    <w:name w:val="heading 2"/>
    <w:link w:val="Style_82_ch"/>
    <w:uiPriority w:val="9"/>
    <w:qFormat/>
    <w:pPr>
      <w:ind/>
      <w:outlineLvl w:val="1"/>
    </w:pPr>
    <w:rPr>
      <w:rFonts w:ascii="Arial" w:hAnsi="Arial"/>
      <w:b w:val="1"/>
      <w:i w:val="1"/>
      <w:sz w:val="28"/>
    </w:rPr>
  </w:style>
  <w:style w:styleId="Style_82_ch" w:type="character">
    <w:name w:val="heading 2"/>
    <w:link w:val="Style_82"/>
    <w:rPr>
      <w:rFonts w:ascii="Arial" w:hAnsi="Arial"/>
      <w:b w:val="1"/>
      <w:i w:val="1"/>
      <w:sz w:val="28"/>
    </w:rPr>
  </w:style>
  <w:style w:styleId="Style_83" w:type="paragraph">
    <w:name w:val="blk"/>
    <w:basedOn w:val="Style_32"/>
    <w:link w:val="Style_83_ch"/>
  </w:style>
  <w:style w:styleId="Style_83_ch" w:type="character">
    <w:name w:val="blk"/>
    <w:basedOn w:val="Style_32_ch"/>
    <w:link w:val="Style_83"/>
  </w:style>
  <w:style w:styleId="Style_84" w:type="paragraph">
    <w:name w:val="Contents 3"/>
    <w:link w:val="Style_84_ch"/>
    <w:pPr>
      <w:widowControl w:val="1"/>
      <w:spacing w:after="0" w:before="0" w:line="240" w:lineRule="auto"/>
      <w:ind w:firstLine="0" w:left="0" w:right="0"/>
      <w:jc w:val="left"/>
    </w:pPr>
    <w:rPr>
      <w:rFonts w:ascii="XO Thames" w:hAnsi="XO Thames"/>
      <w:color w:val="000000"/>
      <w:spacing w:val="0"/>
      <w:sz w:val="28"/>
    </w:rPr>
  </w:style>
  <w:style w:styleId="Style_84_ch" w:type="character">
    <w:name w:val="Contents 3"/>
    <w:link w:val="Style_84"/>
    <w:rPr>
      <w:rFonts w:ascii="XO Thames" w:hAnsi="XO Thames"/>
      <w:color w:val="000000"/>
      <w:spacing w:val="0"/>
      <w:sz w:val="28"/>
    </w:rPr>
  </w:style>
  <w:style w:styleId="Style_6" w:type="paragraph">
    <w:name w:val="ConsPlusNormal"/>
    <w:link w:val="Style_6_ch"/>
    <w:pPr>
      <w:widowControl w:val="0"/>
      <w:spacing w:after="0" w:before="0" w:line="240" w:lineRule="auto"/>
      <w:ind w:firstLine="0" w:left="0" w:right="0"/>
      <w:jc w:val="left"/>
    </w:pPr>
    <w:rPr>
      <w:rFonts w:ascii="Calibri" w:hAnsi="Calibri"/>
      <w:color w:val="000000"/>
      <w:spacing w:val="0"/>
      <w:sz w:val="22"/>
    </w:rPr>
  </w:style>
  <w:style w:styleId="Style_6_ch" w:type="character">
    <w:name w:val="ConsPlusNormal"/>
    <w:link w:val="Style_6"/>
    <w:rPr>
      <w:rFonts w:ascii="Calibri" w:hAnsi="Calibri"/>
      <w:color w:val="000000"/>
      <w:spacing w:val="0"/>
      <w:sz w:val="22"/>
    </w:rPr>
  </w:style>
  <w:style w:styleId="Style_85" w:type="paragraph">
    <w:name w:val="Обычный1"/>
    <w:link w:val="Style_85_ch"/>
    <w:pPr>
      <w:widowControl w:val="1"/>
      <w:spacing w:after="0" w:before="0" w:line="240" w:lineRule="auto"/>
      <w:ind w:firstLine="0" w:left="0" w:right="0"/>
      <w:jc w:val="left"/>
    </w:pPr>
    <w:rPr>
      <w:rFonts w:ascii="Times New Roman" w:hAnsi="Times New Roman"/>
      <w:color w:val="000000"/>
      <w:spacing w:val="0"/>
      <w:sz w:val="24"/>
    </w:rPr>
  </w:style>
  <w:style w:styleId="Style_85_ch" w:type="character">
    <w:name w:val="Обычный1"/>
    <w:link w:val="Style_85"/>
    <w:rPr>
      <w:rFonts w:ascii="Times New Roman" w:hAnsi="Times New Roman"/>
      <w:color w:val="000000"/>
      <w:spacing w:val="0"/>
      <w:sz w:val="24"/>
    </w:rPr>
  </w:style>
  <w:style w:styleId="Style_86" w:type="paragraph">
    <w:name w:val="List"/>
    <w:basedOn w:val="Style_27"/>
    <w:link w:val="Style_86_ch"/>
  </w:style>
  <w:style w:styleId="Style_86_ch" w:type="character">
    <w:name w:val="List"/>
    <w:basedOn w:val="Style_27_ch"/>
    <w:link w:val="Style_86"/>
  </w:style>
  <w:style w:styleId="Style_87" w:type="paragraph">
    <w:name w:val="Строгий1"/>
    <w:basedOn w:val="Style_32"/>
    <w:link w:val="Style_87_ch"/>
    <w:rPr>
      <w:b w:val="1"/>
    </w:rPr>
  </w:style>
  <w:style w:styleId="Style_87_ch" w:type="character">
    <w:name w:val="Строгий1"/>
    <w:basedOn w:val="Style_32_ch"/>
    <w:link w:val="Style_87"/>
    <w:rPr>
      <w:b w:val="1"/>
    </w:rPr>
  </w:style>
  <w:style w:default="1" w:styleId="Style_88" w:type="table">
    <w:name w:val="Normal Table"/>
    <w:tblPr>
      <w:tblCellMar>
        <w:top w:type="dxa" w:w="0"/>
        <w:left w:type="dxa" w:w="108"/>
        <w:bottom w:type="dxa" w:w="0"/>
        <w:right w:type="dxa" w:w="108"/>
      </w:tblCellMar>
    </w:tblPr>
  </w:style>
  <w:style w:styleId="Style_89" w:type="table">
    <w:name w:val="Table Grid"/>
    <w:basedOn w:val="Style_88"/>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3" Target="numbering.xml" Type="http://schemas.openxmlformats.org/officeDocument/2006/relationships/numbering"/>
  <Relationship Id="rId11" Target="webSettings.xml" Type="http://schemas.openxmlformats.org/officeDocument/2006/relationships/webSettings"/>
  <Relationship Id="rId10" Target="stylesWithEffects.xml" Type="http://schemas.microsoft.com/office/2007/relationships/stylesWithEffects"/>
  <Relationship Id="rId9" Target="styles.xml" Type="http://schemas.openxmlformats.org/officeDocument/2006/relationships/styles"/>
  <Relationship Id="rId8" Target="settings.xml" Type="http://schemas.openxmlformats.org/officeDocument/2006/relationships/settings"/>
  <Relationship Id="rId7" Target="fontTable.xml" Type="http://schemas.openxmlformats.org/officeDocument/2006/relationships/fontTable"/>
  <Relationship Id="rId6" Target="media/1.png" Type="http://schemas.openxmlformats.org/officeDocument/2006/relationships/image"/>
  <Relationship Id="rId5" Target="header5.xml" Type="http://schemas.openxmlformats.org/officeDocument/2006/relationships/header"/>
  <Relationship Id="rId4" Target="footer4.xml" Type="http://schemas.openxmlformats.org/officeDocument/2006/relationships/footer"/>
  <Relationship Id="rId12" Target="theme/theme1.xml" Type="http://schemas.openxmlformats.org/officeDocument/2006/relationships/theme"/>
  <Relationship Id="rId3" Target="header3.xml" Type="http://schemas.openxmlformats.org/officeDocument/2006/relationships/header"/>
  <Relationship Id="rId2" Target="footer2.xml" Type="http://schemas.openxmlformats.org/officeDocument/2006/relationships/foot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2023-11-10T01:26:18Z</dcterms:modified>
</cp:coreProperties>
</file>