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</w:rPr>
        <w:t>Информация по вопросу 2</w:t>
      </w:r>
    </w:p>
    <w:p>
      <w:pPr>
        <w:pStyle w:val="Normal"/>
        <w:spacing w:lineRule="auto" w:line="240" w:before="0" w:after="0"/>
        <w:jc w:val="center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о взаимодействии с респондентами Национального рейтинга состояния инвестиционного климата в субъектах Российской Федерации </w:t>
      </w:r>
    </w:p>
    <w:p>
      <w:pPr>
        <w:pStyle w:val="Normal"/>
        <w:spacing w:lineRule="auto" w:line="240" w:before="0" w:after="0"/>
        <w:jc w:val="center"/>
        <w:rPr>
          <w:rFonts w:ascii="Segoe UI" w:hAnsi="Segoe UI"/>
          <w:b/>
          <w:color w:val="000000"/>
          <w:sz w:val="18"/>
        </w:rPr>
      </w:pPr>
      <w:r>
        <w:rPr>
          <w:rFonts w:ascii="Segoe UI" w:hAnsi="Segoe UI"/>
          <w:b/>
          <w:color w:val="000000"/>
          <w:sz w:val="18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Камчатский край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ежегодно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участвует в Национальном рейтинге состояния инвестиционного климата в субъектах Российской Федерации (далее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–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Национальный рейтинг), который проводится под руководством АНО «Агентство стратегических инициатив по продвижению новых проектов» 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среди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(далее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–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 xml:space="preserve"> Агентство).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Национальный рейтинг формируется Агентством на основании опросов бизнес-сообщества региона, а также с использованием отдельных статистических показателей (по 67 специализированным показателям).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szCs w:val="28"/>
        </w:rPr>
        <w:t>В прошлом году Камчатский край занял 20 место в Национальном рейтинге, опустившись с 13 места. Опрос респондентов стартовал в январе 2024 года.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en-US"/>
        </w:rPr>
        <w:t xml:space="preserve">Опрос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 xml:space="preserve">респондентов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en-US"/>
        </w:rPr>
        <w:t>проводится Всероссийским центром изучения общественного мнения (далее – ВЦИОМ) с соблюдением часовых поясов в следующем порядке: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lang w:val="ru-RU"/>
        </w:rPr>
        <w:t>1) 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респонденту направляется SMS-ссылка на анкету;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2) возможен предварительный звонок перед отправкой SMS от ВЦИОМ, информирующий о планируемом направлении SMS-ссылки на анкету;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3) дополнительная рассылка анкет лицам, не прошедшим анкетирование по SMS-ссылке, производится еще и по электронной почте;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i w:val="false"/>
          <w:i w:val="false"/>
          <w:iCs w:val="false"/>
        </w:rPr>
      </w:pP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</w:rPr>
        <w:t>4) в случае низкой конвертации ответов возможны мотивационные звонки от ВЦИОМ с просьбой заполнить анкету.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color w:val="000000"/>
          <w:sz w:val="28"/>
          <w:szCs w:val="28"/>
        </w:rPr>
        <w:t>Респондентов в регионе около 500, ведется предварительная работа, ответственные исполнительные органы Камчатского края производят телефонные звонки в целях разъяснения респондентами процедуры прохождения опросов ВЦИОМ.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Сформирована база респондентов по показателям специальной выборки Национального рейтинга на основании представленных ответственными исполнительными органами Камчатского края кандидатур.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Количество представленных ответственными исполнительными органами Камчатского края респондентов</w:t>
      </w:r>
    </w:p>
    <w:p>
      <w:pPr>
        <w:pStyle w:val="Normal"/>
        <w:pageBreakBefore w:val="false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tbl>
      <w:tblPr>
        <w:tblStyle w:val="889"/>
        <w:tblW w:w="10200" w:type="dxa"/>
        <w:jc w:val="left"/>
        <w:tblInd w:w="14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664"/>
        <w:gridCol w:w="1496"/>
        <w:gridCol w:w="3343"/>
        <w:gridCol w:w="3167"/>
        <w:gridCol w:w="1530"/>
      </w:tblGrid>
      <w:tr>
        <w:trPr>
          <w:trHeight w:val="1875" w:hRule="atLeast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п/п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Показатель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Наименование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Ответственный орган за предоставление списка респондентов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Количество предоставленных респондентов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1.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А2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выдаче разрешений на строительство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Минстрой Камчатского края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2.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А3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регистрации прав собственности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Минимущество Камчатского края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40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3.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A5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подключению электроэнергии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Министерство ЖКХ и энергетики Камчатского края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4.</w:t>
            </w:r>
          </w:p>
        </w:tc>
        <w:tc>
          <w:tcPr>
            <w:tcW w:w="14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A6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подключению к газопроводу</w:t>
            </w:r>
          </w:p>
        </w:tc>
        <w:tc>
          <w:tcPr>
            <w:tcW w:w="31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Министерство ЖКХ и энергетики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респонденты отсу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тствуют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5.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А7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подключению к сетям водоснабжения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Министерство ЖКХ и энергетики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6.</w:t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подключению к сетям водоотведения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Министерство ЖКХ и энергетики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респонденты отсу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тствуют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7.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А9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вводу объекта в эксплуатацию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Минстрой Камчатского края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8.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А10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получению в аренду земельных участков (без проведения торгов)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Минимущество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22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9.</w:t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получению в аренду земельных участков (с проведением торгов)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Минимущество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18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10.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Б3.1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работы Совета по вопросам развития инвестиционного климата (или аналогичного органа) в субъекте Российской Федерации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Минэкономразвития Камчатского края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0"/>
                <w:kern w:val="0"/>
                <w:sz w:val="24"/>
                <w:szCs w:val="24"/>
              </w:rPr>
              <w:t>16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11.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Б3.3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работы специализированной (уполномоченной органом власти) организации по привлечению инвестиций и работе с инвесторами в субъекте Российской Федерации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АО «Корпорация развития Камчатки»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32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12.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Б5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институтов поддержки экспортной деятельности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Минтуризм Камчатского края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84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13.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Б6.1 -Б6.2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Соблюдение субъектом Российской Федерации положений региональной </w:t>
              <w:br/>
              <w:t>Инвестиционной декларации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Качество реализации Инвестиционной карты субъекта </w:t>
              <w:br/>
              <w:t>Российской Федерации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Минэкономразвития Камчатского края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32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14.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Б6.3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работы Инвестиционного комитета субъекта Российской Федерации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Минэкономразвития Камчатского края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15.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В1.4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Удовлетворенность предпринимателей объектами инвестиционной инфраструктуры (технологические и промышленные парки, промышленные площадки), находящимися на территории субъекта Российской Федерации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Минэкономразвития Камчатского края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172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16.</w:t>
            </w:r>
          </w:p>
        </w:tc>
        <w:tc>
          <w:tcPr>
            <w:tcW w:w="14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В2</w:t>
            </w: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151515"/>
                <w:spacing w:val="0"/>
                <w:kern w:val="0"/>
                <w:sz w:val="24"/>
                <w:szCs w:val="24"/>
              </w:rPr>
              <w:t>Эффективность процедур постановки земельного участка на кадастровый учет и качество территориального планирования</w:t>
            </w:r>
          </w:p>
        </w:tc>
        <w:tc>
          <w:tcPr>
            <w:tcW w:w="3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Минимущество Камчатского края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4"/>
                <w:szCs w:val="24"/>
                <w:lang w:val="en-US"/>
              </w:rPr>
              <w:t>14</w:t>
            </w:r>
          </w:p>
        </w:tc>
      </w:tr>
      <w:tr>
        <w:trPr>
          <w:trHeight w:val="300" w:hRule="atLeast"/>
        </w:trPr>
        <w:tc>
          <w:tcPr>
            <w:tcW w:w="10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Внерейтинговый показатель</w:t>
            </w:r>
          </w:p>
        </w:tc>
      </w:tr>
      <w:tr>
        <w:trPr>
          <w:trHeight w:val="300" w:hRule="atLeast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17.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А8.Х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Эффективность процедур по подключению к теплоснабжению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4"/>
                <w:szCs w:val="24"/>
              </w:rPr>
              <w:t>Министерство ЖКХ и энергетики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4"/>
                <w:szCs w:val="24"/>
              </w:rPr>
              <w:t>12</w:t>
            </w:r>
          </w:p>
        </w:tc>
      </w:tr>
    </w:tbl>
    <w:p>
      <w:pPr>
        <w:pStyle w:val="Normal"/>
        <w:spacing w:before="0" w:after="160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widowControl/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color w:val="000000"/>
        </w:rPr>
      </w:r>
    </w:p>
    <w:sectPr>
      <w:type w:val="nextPage"/>
      <w:pgSz w:w="11906" w:h="16838"/>
      <w:pgMar w:left="1134" w:right="572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egoe U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64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List1">
    <w:name w:val="List1"/>
    <w:basedOn w:val="Textbody"/>
    <w:qFormat/>
    <w:rPr/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Contents5">
    <w:name w:val="Contents 5"/>
    <w:link w:val="Contents51"/>
    <w:qFormat/>
    <w:rPr>
      <w:rFonts w:ascii="XO Thames" w:hAnsi="XO Thames"/>
      <w:color w:val="000000"/>
      <w:spacing w:val="0"/>
      <w:sz w:val="28"/>
    </w:rPr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Textbody">
    <w:name w:val="Text body"/>
    <w:qFormat/>
    <w:rPr/>
  </w:style>
  <w:style w:type="character" w:styleId="Internetlink">
    <w:name w:val="Internet link"/>
    <w:link w:val="Internetlink1"/>
    <w:qFormat/>
    <w:rPr>
      <w:rFonts w:ascii="Calibri" w:hAnsi="Calibri"/>
      <w:color w:val="0000FF"/>
      <w:spacing w:val="0"/>
      <w:sz w:val="22"/>
      <w:u w:val="single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Style9">
    <w:name w:val="Колонтитул"/>
    <w:link w:val="12"/>
    <w:qFormat/>
    <w:rPr>
      <w:rFonts w:ascii="XO Thames" w:hAnsi="XO Thames"/>
      <w:color w:val="000000"/>
      <w:spacing w:val="0"/>
      <w:sz w:val="20"/>
    </w:rPr>
  </w:style>
  <w:style w:type="character" w:styleId="Style10">
    <w:name w:val="Заголовок"/>
    <w:link w:val="111111111111"/>
    <w:qFormat/>
    <w:rPr>
      <w:rFonts w:ascii="Liberation Sans" w:hAnsi="Liberation Sans"/>
      <w:sz w:val="28"/>
    </w:rPr>
  </w:style>
  <w:style w:type="character" w:styleId="Paragraph">
    <w:name w:val="paragraph"/>
    <w:link w:val="Paragraph1"/>
    <w:qFormat/>
    <w:rPr>
      <w:rFonts w:ascii="Times New Roman" w:hAnsi="Times New Roman"/>
      <w:sz w:val="24"/>
    </w:rPr>
  </w:style>
  <w:style w:type="character" w:styleId="Style11">
    <w:name w:val="Указатель"/>
    <w:link w:val="111111111112"/>
    <w:qFormat/>
    <w:rPr/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"/>
    <w:qFormat/>
    <w:rPr/>
  </w:style>
  <w:style w:type="character" w:styleId="Contents1">
    <w:name w:val="Contents 1"/>
    <w:link w:val="Contents11"/>
    <w:qFormat/>
    <w:rPr>
      <w:rFonts w:ascii="XO Thames" w:hAnsi="XO Thames"/>
      <w:b/>
      <w:color w:val="000000"/>
      <w:spacing w:val="0"/>
      <w:sz w:val="28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Normaltextrun">
    <w:name w:val="normaltextrun"/>
    <w:basedOn w:val="DefaultParagraphFont"/>
    <w:link w:val="Normaltextrun1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Scxw255778015">
    <w:name w:val="scxw255778015"/>
    <w:basedOn w:val="DefaultParagraphFont"/>
    <w:link w:val="Scxw2557780151"/>
    <w:qFormat/>
    <w:rPr/>
  </w:style>
  <w:style w:type="character" w:styleId="Eop">
    <w:name w:val="eop"/>
    <w:basedOn w:val="DefaultParagraphFont"/>
    <w:link w:val="Eop1"/>
    <w:qFormat/>
    <w:rPr/>
  </w:style>
  <w:style w:type="character" w:styleId="Caption1">
    <w:name w:val="Caption1"/>
    <w:qFormat/>
    <w:rPr>
      <w:i/>
      <w:sz w:val="24"/>
    </w:rPr>
  </w:style>
  <w:style w:type="character" w:styleId="Style12">
    <w:name w:val="Маркеры"/>
    <w:qFormat/>
    <w:rPr>
      <w:rFonts w:ascii="OpenSymbol" w:hAnsi="OpenSymbol" w:eastAsia="OpenSymbol" w:cs="OpenSymbol"/>
    </w:rPr>
  </w:style>
  <w:style w:type="paragraph" w:styleId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qFormat/>
    <w:pPr>
      <w:suppressLineNumbers/>
    </w:pPr>
    <w:rPr>
      <w:rFonts w:cs="Lucida Sans"/>
    </w:rPr>
  </w:style>
  <w:style w:type="paragraph" w:styleId="111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">
    <w:name w:val="Указатель11"/>
    <w:basedOn w:val="Normal"/>
    <w:qFormat/>
    <w:pPr>
      <w:suppressLineNumbers/>
    </w:pPr>
    <w:rPr>
      <w:rFonts w:cs="Lucida Sans"/>
    </w:rPr>
  </w:style>
  <w:style w:type="paragraph" w:styleId="1111">
    <w:name w:val="Заголовок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2">
    <w:name w:val="Указатель111"/>
    <w:basedOn w:val="Normal"/>
    <w:qFormat/>
    <w:pPr>
      <w:suppressLineNumbers/>
    </w:pPr>
    <w:rPr>
      <w:rFonts w:cs="Lucida Sans"/>
    </w:rPr>
  </w:style>
  <w:style w:type="paragraph" w:styleId="11111">
    <w:name w:val="Заголовок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ucida Sans"/>
    </w:rPr>
  </w:style>
  <w:style w:type="paragraph" w:styleId="111111">
    <w:name w:val="Заголовок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1112">
    <w:name w:val="Указатель11111"/>
    <w:basedOn w:val="Normal"/>
    <w:qFormat/>
    <w:pPr>
      <w:suppressLineNumbers/>
    </w:pPr>
    <w:rPr>
      <w:rFonts w:cs="Arial"/>
    </w:rPr>
  </w:style>
  <w:style w:type="paragraph" w:styleId="1111111">
    <w:name w:val="Заголовок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11111111">
    <w:name w:val="Заголовок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1111112">
    <w:name w:val="Указатель1111111"/>
    <w:basedOn w:val="Normal"/>
    <w:qFormat/>
    <w:pPr>
      <w:suppressLineNumbers/>
    </w:pPr>
    <w:rPr>
      <w:rFonts w:cs="Arial"/>
    </w:rPr>
  </w:style>
  <w:style w:type="paragraph" w:styleId="111111111">
    <w:name w:val="Заголовок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2">
    <w:name w:val="Указатель11111111"/>
    <w:basedOn w:val="Normal"/>
    <w:qFormat/>
    <w:pPr>
      <w:suppressLineNumbers/>
    </w:pPr>
    <w:rPr>
      <w:rFonts w:cs="Lucida Sans"/>
    </w:rPr>
  </w:style>
  <w:style w:type="paragraph" w:styleId="1111111111">
    <w:name w:val="Заголовок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2">
    <w:name w:val="Указатель111111111"/>
    <w:basedOn w:val="Normal"/>
    <w:qFormat/>
    <w:pPr>
      <w:suppressLineNumbers/>
    </w:pPr>
    <w:rPr>
      <w:rFonts w:cs="Lucida Sans"/>
    </w:rPr>
  </w:style>
  <w:style w:type="paragraph" w:styleId="11111111111">
    <w:name w:val="Заголовок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1112">
    <w:name w:val="Указатель1111111111"/>
    <w:basedOn w:val="Normal"/>
    <w:qFormat/>
    <w:pPr>
      <w:suppressLineNumbers/>
    </w:pPr>
    <w:rPr>
      <w:rFonts w:cs="Lucida Sans"/>
    </w:rPr>
  </w:style>
  <w:style w:type="paragraph" w:styleId="111111111111">
    <w:name w:val="Заголовок11111111111"/>
    <w:basedOn w:val="Normal"/>
    <w:next w:val="BodyText"/>
    <w:link w:val="Style10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1112">
    <w:name w:val="Указатель11111111111"/>
    <w:basedOn w:val="Normal"/>
    <w:link w:val="Style11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51">
    <w:name w:val="Contents 5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">
    <w:name w:val="Internet link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FF"/>
      <w:spacing w:val="0"/>
      <w:kern w:val="0"/>
      <w:sz w:val="22"/>
      <w:szCs w:val="20"/>
      <w:u w:val="single"/>
      <w:lang w:val="ru-RU" w:eastAsia="zh-CN" w:bidi="hi-IN"/>
    </w:rPr>
  </w:style>
  <w:style w:type="paragraph" w:styleId="Contents71">
    <w:name w:val="Contents 7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2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Paragraph1">
    <w:name w:val="paragraph1"/>
    <w:basedOn w:val="Normal"/>
    <w:link w:val="Paragraph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Contents81">
    <w:name w:val="Contents 8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1"/>
    <w:basedOn w:val="Normal"/>
    <w:link w:val="ListParagraph"/>
    <w:qFormat/>
    <w:pPr>
      <w:spacing w:before="0" w:after="160"/>
      <w:ind w:hanging="0" w:left="720" w:right="0"/>
      <w:contextualSpacing/>
    </w:pPr>
    <w:rPr/>
  </w:style>
  <w:style w:type="paragraph" w:styleId="Contents11">
    <w:name w:val="Contents 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Normaltextrun1">
    <w:name w:val="normaltextrun1"/>
    <w:basedOn w:val="DefaultParagraphFont1"/>
    <w:link w:val="Normaltextrun"/>
    <w:qFormat/>
    <w:pPr/>
    <w:rPr/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61">
    <w:name w:val="Contents 6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cxw2557780151">
    <w:name w:val="scxw2557780151"/>
    <w:basedOn w:val="DefaultParagraphFont1"/>
    <w:link w:val="Scxw255778015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op1">
    <w:name w:val="eop1"/>
    <w:basedOn w:val="DefaultParagraphFont1"/>
    <w:link w:val="Eop"/>
    <w:qFormat/>
    <w:pPr/>
    <w:rPr/>
  </w:style>
  <w:style w:type="paragraph" w:styleId="Contents21">
    <w:name w:val="Contents 2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3">
    <w:name w:val="Содержимое таблицы"/>
    <w:basedOn w:val="Normal"/>
    <w:qFormat/>
    <w:pPr>
      <w:widowControl w:val="false"/>
      <w:suppressLineNumbers/>
    </w:pPr>
    <w:rPr/>
  </w:style>
  <w:style w:type="paragraph" w:styleId="Style14">
    <w:name w:val="Заголовок таблицы"/>
    <w:basedOn w:val="Style13"/>
    <w:qFormat/>
    <w:pPr>
      <w:suppressLineNumbers/>
      <w:jc w:val="center"/>
    </w:pPr>
    <w:rPr>
      <w:b/>
      <w:bCs/>
    </w:rPr>
  </w:style>
  <w:style w:type="paragraph" w:styleId="2">
    <w:name w:val="Колонтитул2"/>
    <w:basedOn w:val="Normal"/>
    <w:qFormat/>
    <w:pPr>
      <w:suppressLineNumbers/>
      <w:tabs>
        <w:tab w:val="clear" w:pos="708"/>
        <w:tab w:val="center" w:pos="5102" w:leader="none"/>
        <w:tab w:val="right" w:pos="10205" w:leader="none"/>
      </w:tabs>
    </w:pPr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Header">
    <w:name w:val="Header"/>
    <w:basedOn w:val="2"/>
    <w:pPr>
      <w:suppressLineNumbers/>
    </w:pPr>
    <w:rPr/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Application>LibreOffice/24.2.0.3$Windows_X86_64 LibreOffice_project/da48488a73ddd66ea24cf16bbc4f7b9c08e9bea1</Application>
  <AppVersion>15.0000</AppVersion>
  <Pages>3</Pages>
  <Words>507</Words>
  <Characters>3829</Characters>
  <CharactersWithSpaces>4241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2024-02-27T12:35:43Z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